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45" w:rsidRPr="00BF4A7A" w:rsidRDefault="0045113C" w:rsidP="00490C45">
      <w:pPr>
        <w:pStyle w:val="Title-article"/>
        <w:pBdr>
          <w:top w:val="single" w:sz="4" w:space="1" w:color="auto"/>
          <w:bottom w:val="single" w:sz="4" w:space="1" w:color="auto"/>
        </w:pBdr>
        <w:spacing w:after="0"/>
        <w:jc w:val="both"/>
        <w:rPr>
          <w:rFonts w:ascii="Calibri" w:hAnsi="Calibri" w:cs="Calibri"/>
          <w:caps/>
          <w:sz w:val="32"/>
          <w:szCs w:val="40"/>
        </w:rPr>
      </w:pPr>
      <w:bookmarkStart w:id="0" w:name="_Toc324326080"/>
      <w:r>
        <w:rPr>
          <w:rFonts w:ascii="Calibri" w:hAnsi="Calibri" w:cs="Calibri"/>
          <w:sz w:val="32"/>
          <w:szCs w:val="40"/>
        </w:rPr>
        <w:t xml:space="preserve">Faktor sanitasi lingkungan penyebab </w:t>
      </w:r>
      <w:r w:rsidR="00490C45">
        <w:rPr>
          <w:rFonts w:ascii="Calibri" w:hAnsi="Calibri" w:cs="Calibri"/>
          <w:sz w:val="32"/>
          <w:szCs w:val="40"/>
        </w:rPr>
        <w:t>stunting pada balita di wila</w:t>
      </w:r>
      <w:r w:rsidR="003237CF">
        <w:rPr>
          <w:rFonts w:ascii="Calibri" w:hAnsi="Calibri" w:cs="Calibri"/>
          <w:sz w:val="32"/>
          <w:szCs w:val="40"/>
        </w:rPr>
        <w:t>yah kerja puskesmas Air Bangis K</w:t>
      </w:r>
      <w:r w:rsidR="00490C45">
        <w:rPr>
          <w:rFonts w:ascii="Calibri" w:hAnsi="Calibri" w:cs="Calibri"/>
          <w:sz w:val="32"/>
          <w:szCs w:val="40"/>
        </w:rPr>
        <w:t>abupaten Pasaman Barat</w:t>
      </w:r>
    </w:p>
    <w:p w:rsidR="00490C45" w:rsidRPr="00C84113" w:rsidRDefault="00490C45" w:rsidP="00490C45">
      <w:pPr>
        <w:pStyle w:val="Subtitle"/>
        <w:pBdr>
          <w:top w:val="single" w:sz="4" w:space="1" w:color="auto"/>
          <w:bottom w:val="single" w:sz="4" w:space="1" w:color="auto"/>
        </w:pBdr>
        <w:spacing w:after="0"/>
        <w:rPr>
          <w:rFonts w:ascii="Calibri" w:hAnsi="Calibri" w:cs="Calibri"/>
          <w:lang w:eastAsia="ja-JP"/>
        </w:rPr>
      </w:pPr>
    </w:p>
    <w:p w:rsidR="00490C45" w:rsidRPr="00C84113" w:rsidRDefault="00490C45" w:rsidP="00490C45">
      <w:pPr>
        <w:pStyle w:val="author"/>
        <w:pBdr>
          <w:top w:val="single" w:sz="4" w:space="1" w:color="auto"/>
          <w:bottom w:val="single" w:sz="4" w:space="1" w:color="auto"/>
        </w:pBdr>
        <w:jc w:val="left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t>Yuliza Anggraini</w:t>
      </w:r>
      <w:r w:rsidRPr="00C84113">
        <w:rPr>
          <w:rFonts w:ascii="Calibri" w:hAnsi="Calibri" w:cs="Calibri"/>
          <w:b w:val="0"/>
          <w:i w:val="0"/>
          <w:iCs w:val="0"/>
          <w:vertAlign w:val="superscript"/>
          <w:lang w:val="id-ID"/>
        </w:rPr>
        <w:t>1</w:t>
      </w:r>
      <w:r w:rsidRPr="00C84113">
        <w:rPr>
          <w:rFonts w:ascii="Calibri" w:hAnsi="Calibri" w:cs="Calibri"/>
          <w:b w:val="0"/>
          <w:i w:val="0"/>
          <w:iCs w:val="0"/>
          <w:vertAlign w:val="superscript"/>
        </w:rPr>
        <w:t>*</w:t>
      </w:r>
      <w:r w:rsidRPr="00C84113">
        <w:rPr>
          <w:rFonts w:ascii="Calibri" w:hAnsi="Calibri" w:cs="Calibri"/>
          <w:i w:val="0"/>
        </w:rPr>
        <w:t xml:space="preserve">, </w:t>
      </w:r>
      <w:r>
        <w:rPr>
          <w:rFonts w:ascii="Calibri" w:hAnsi="Calibri" w:cs="Calibri"/>
          <w:i w:val="0"/>
        </w:rPr>
        <w:t>Pagdya Haninda Nusantri Rusdi</w:t>
      </w:r>
      <w:r w:rsidRPr="00C84113">
        <w:rPr>
          <w:rFonts w:ascii="Calibri" w:hAnsi="Calibri" w:cs="Calibri"/>
          <w:b w:val="0"/>
          <w:i w:val="0"/>
          <w:iCs w:val="0"/>
          <w:vertAlign w:val="superscript"/>
          <w:lang w:val="id-ID"/>
        </w:rPr>
        <w:t>2</w:t>
      </w:r>
    </w:p>
    <w:p w:rsidR="00490C45" w:rsidRDefault="00490C45" w:rsidP="00490C4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  <w:vertAlign w:val="superscript"/>
        </w:rPr>
        <w:t>1</w:t>
      </w:r>
      <w:proofErr w:type="gramStart"/>
      <w:r>
        <w:rPr>
          <w:rFonts w:cs="Calibri"/>
          <w:i/>
          <w:sz w:val="18"/>
          <w:szCs w:val="18"/>
          <w:vertAlign w:val="superscript"/>
        </w:rPr>
        <w:t>,2</w:t>
      </w:r>
      <w:proofErr w:type="gramEnd"/>
      <w:r>
        <w:rPr>
          <w:rFonts w:cs="Calibri"/>
          <w:i/>
          <w:sz w:val="18"/>
          <w:szCs w:val="18"/>
          <w:vertAlign w:val="superscript"/>
        </w:rPr>
        <w:t xml:space="preserve"> </w:t>
      </w:r>
      <w:r>
        <w:rPr>
          <w:rFonts w:cs="Calibri"/>
          <w:i/>
          <w:sz w:val="18"/>
          <w:szCs w:val="18"/>
        </w:rPr>
        <w:t xml:space="preserve">Program Studi D-III Kebidanan Fakultas Kesehatan dan MIPA </w:t>
      </w:r>
    </w:p>
    <w:p w:rsidR="00490C45" w:rsidRPr="00C84113" w:rsidRDefault="00490C45" w:rsidP="00490C4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Universitas Muhammadiyah Sumatera Barat</w:t>
      </w:r>
    </w:p>
    <w:p w:rsidR="00490C45" w:rsidRPr="00C84113" w:rsidRDefault="00490C45" w:rsidP="00490C45">
      <w:pPr>
        <w:pStyle w:val="Subtitle"/>
        <w:spacing w:after="0"/>
        <w:jc w:val="left"/>
        <w:rPr>
          <w:rFonts w:ascii="Calibri" w:hAnsi="Calibri" w:cs="Calibri"/>
        </w:rPr>
      </w:pPr>
    </w:p>
    <w:p w:rsidR="00490C45" w:rsidRPr="00C84113" w:rsidRDefault="00490C45" w:rsidP="00490C45">
      <w:pPr>
        <w:tabs>
          <w:tab w:val="left" w:pos="567"/>
          <w:tab w:val="left" w:pos="3514"/>
        </w:tabs>
        <w:spacing w:after="0" w:line="360" w:lineRule="auto"/>
        <w:rPr>
          <w:rFonts w:cs="Calibri"/>
          <w:b/>
          <w:bCs/>
          <w:caps/>
          <w:sz w:val="20"/>
          <w:szCs w:val="20"/>
        </w:rPr>
      </w:pPr>
      <w:r w:rsidRPr="00C84113">
        <w:rPr>
          <w:rFonts w:cs="Calibri"/>
          <w:b/>
          <w:bCs/>
          <w:caps/>
          <w:sz w:val="20"/>
          <w:szCs w:val="20"/>
        </w:rPr>
        <w:t>INFORMASI ARTIKEL:</w:t>
      </w:r>
      <w:r w:rsidRPr="00C84113">
        <w:rPr>
          <w:rFonts w:cs="Calibri"/>
          <w:b/>
          <w:bCs/>
          <w:caps/>
          <w:sz w:val="20"/>
          <w:szCs w:val="20"/>
        </w:rPr>
        <w:tab/>
      </w:r>
      <w:r>
        <w:rPr>
          <w:rFonts w:cs="Calibri"/>
          <w:b/>
          <w:bCs/>
          <w:caps/>
          <w:sz w:val="20"/>
          <w:szCs w:val="20"/>
        </w:rPr>
        <w:tab/>
      </w:r>
      <w:r w:rsidRPr="00C84113">
        <w:rPr>
          <w:rFonts w:cs="Calibri"/>
          <w:b/>
          <w:bCs/>
          <w:caps/>
          <w:sz w:val="20"/>
          <w:szCs w:val="20"/>
        </w:rPr>
        <w:t xml:space="preserve"> </w:t>
      </w:r>
      <w:r>
        <w:rPr>
          <w:rFonts w:cs="Calibri"/>
          <w:b/>
          <w:bCs/>
          <w:caps/>
          <w:sz w:val="20"/>
          <w:szCs w:val="20"/>
        </w:rPr>
        <w:t xml:space="preserve"> ABSTRAK</w:t>
      </w:r>
    </w:p>
    <w:tbl>
      <w:tblPr>
        <w:tblW w:w="9640" w:type="dxa"/>
        <w:tblInd w:w="-34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501"/>
        <w:gridCol w:w="5812"/>
      </w:tblGrid>
      <w:tr w:rsidR="00490C45" w:rsidRPr="006E3AEA" w:rsidTr="00407F0A">
        <w:trPr>
          <w:trHeight w:val="1692"/>
        </w:trPr>
        <w:tc>
          <w:tcPr>
            <w:tcW w:w="3327" w:type="dxa"/>
          </w:tcPr>
          <w:p w:rsidR="00490C45" w:rsidRPr="00C84113" w:rsidRDefault="00490C45" w:rsidP="00407F0A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iCs/>
                <w:sz w:val="18"/>
                <w:szCs w:val="18"/>
              </w:rPr>
            </w:pPr>
            <w:r w:rsidRPr="00C84113">
              <w:rPr>
                <w:rFonts w:cs="Calibri"/>
                <w:b/>
                <w:iCs/>
                <w:sz w:val="18"/>
                <w:szCs w:val="18"/>
              </w:rPr>
              <w:t>Riwayat Artikel:</w:t>
            </w:r>
          </w:p>
          <w:p w:rsidR="00490C45" w:rsidRPr="00C84113" w:rsidRDefault="00490C45" w:rsidP="00407F0A">
            <w:pPr>
              <w:pStyle w:val="Subtitle"/>
              <w:spacing w:after="0"/>
              <w:ind w:left="20" w:right="-5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C84113">
              <w:rPr>
                <w:rFonts w:ascii="Calibri" w:hAnsi="Calibri" w:cs="Calibri"/>
                <w:sz w:val="18"/>
                <w:szCs w:val="18"/>
              </w:rPr>
              <w:t>Tanggal diterima</w:t>
            </w:r>
          </w:p>
          <w:p w:rsidR="00490C45" w:rsidRPr="00C84113" w:rsidRDefault="00490C45" w:rsidP="00407F0A">
            <w:pPr>
              <w:pStyle w:val="Subtitle"/>
              <w:spacing w:after="0"/>
              <w:ind w:left="20" w:right="-5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C84113">
              <w:rPr>
                <w:rFonts w:ascii="Calibri" w:hAnsi="Calibri" w:cs="Calibri"/>
                <w:sz w:val="18"/>
                <w:szCs w:val="18"/>
              </w:rPr>
              <w:t>Tanggal di revisi</w:t>
            </w:r>
          </w:p>
          <w:p w:rsidR="00490C45" w:rsidRPr="00C84113" w:rsidRDefault="00490C45" w:rsidP="00407F0A">
            <w:pPr>
              <w:pStyle w:val="Subtitle"/>
              <w:spacing w:after="0"/>
              <w:ind w:left="20" w:right="-57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C84113">
              <w:rPr>
                <w:rFonts w:ascii="Calibri" w:hAnsi="Calibri" w:cs="Calibri"/>
                <w:sz w:val="18"/>
                <w:szCs w:val="18"/>
              </w:rPr>
              <w:t>Tanggal di Publikasi</w:t>
            </w:r>
          </w:p>
          <w:p w:rsidR="00490C45" w:rsidRPr="00C84113" w:rsidRDefault="00490C45" w:rsidP="00407F0A">
            <w:pPr>
              <w:pBdr>
                <w:top w:val="single" w:sz="4" w:space="1" w:color="auto"/>
              </w:pBdr>
              <w:tabs>
                <w:tab w:val="left" w:pos="567"/>
              </w:tabs>
              <w:spacing w:after="0" w:line="240" w:lineRule="auto"/>
              <w:ind w:left="-85" w:right="-57"/>
              <w:rPr>
                <w:rFonts w:cs="Calibri"/>
                <w:b/>
                <w:bCs/>
                <w:i/>
                <w:caps/>
                <w:sz w:val="4"/>
                <w:szCs w:val="4"/>
              </w:rPr>
            </w:pPr>
          </w:p>
          <w:p w:rsidR="00490C45" w:rsidRPr="00C84113" w:rsidRDefault="00490C45" w:rsidP="00407F0A">
            <w:pPr>
              <w:spacing w:after="0" w:line="240" w:lineRule="auto"/>
              <w:ind w:left="-122" w:firstLine="142"/>
              <w:rPr>
                <w:rFonts w:cs="Calibri"/>
                <w:color w:val="2B03BD"/>
                <w:sz w:val="18"/>
                <w:szCs w:val="18"/>
                <w:lang w:val="id-ID"/>
              </w:rPr>
            </w:pPr>
            <w:r w:rsidRPr="00C84113">
              <w:rPr>
                <w:rFonts w:cs="Calibri"/>
                <w:bCs/>
                <w:i/>
                <w:sz w:val="18"/>
                <w:szCs w:val="18"/>
              </w:rPr>
              <w:t xml:space="preserve">Kata kunci: </w:t>
            </w:r>
          </w:p>
          <w:p w:rsidR="00490C45" w:rsidRPr="00027DF6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Sanitasi</w:t>
            </w: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Stunting</w:t>
            </w:r>
          </w:p>
          <w:p w:rsidR="00490C45" w:rsidRPr="00027DF6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Balita</w:t>
            </w: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  <w:lang w:val="id-ID"/>
              </w:rPr>
            </w:pPr>
          </w:p>
          <w:p w:rsidR="00490C45" w:rsidRPr="00E61D33" w:rsidRDefault="00490C45" w:rsidP="00407F0A">
            <w:pPr>
              <w:pStyle w:val="HTMLPreformatted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61D33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Key word : </w:t>
            </w:r>
          </w:p>
          <w:p w:rsidR="00490C45" w:rsidRPr="00E61D33" w:rsidRDefault="00490C45" w:rsidP="00407F0A">
            <w:pPr>
              <w:pStyle w:val="HTMLPreformatted"/>
              <w:rPr>
                <w:rFonts w:ascii="Calibri" w:hAnsi="Calibri"/>
                <w:sz w:val="18"/>
                <w:szCs w:val="18"/>
              </w:rPr>
            </w:pPr>
            <w:r w:rsidRPr="00E61D33">
              <w:rPr>
                <w:rFonts w:ascii="Calibri" w:hAnsi="Calibri"/>
                <w:sz w:val="18"/>
                <w:szCs w:val="18"/>
              </w:rPr>
              <w:t>Sanitation</w:t>
            </w:r>
          </w:p>
          <w:p w:rsidR="00490C45" w:rsidRPr="00E61D33" w:rsidRDefault="00490C45" w:rsidP="00407F0A">
            <w:pPr>
              <w:pStyle w:val="HTMLPreformatted"/>
              <w:rPr>
                <w:rFonts w:ascii="Calibri" w:hAnsi="Calibri"/>
                <w:sz w:val="18"/>
                <w:szCs w:val="18"/>
              </w:rPr>
            </w:pPr>
            <w:r w:rsidRPr="00E61D33">
              <w:rPr>
                <w:rFonts w:ascii="Calibri" w:hAnsi="Calibri"/>
                <w:sz w:val="18"/>
                <w:szCs w:val="18"/>
              </w:rPr>
              <w:t>Stunting</w:t>
            </w:r>
          </w:p>
          <w:p w:rsidR="00490C45" w:rsidRPr="00E61D33" w:rsidRDefault="00490C45" w:rsidP="00407F0A">
            <w:pPr>
              <w:pStyle w:val="HTMLPreformatted"/>
              <w:rPr>
                <w:rFonts w:ascii="Calibri" w:hAnsi="Calibri"/>
                <w:sz w:val="18"/>
                <w:szCs w:val="18"/>
              </w:rPr>
            </w:pPr>
            <w:r w:rsidRPr="00E61D33">
              <w:rPr>
                <w:rFonts w:ascii="Calibri" w:hAnsi="Calibri"/>
                <w:sz w:val="18"/>
                <w:szCs w:val="18"/>
              </w:rPr>
              <w:t>A toddler</w:t>
            </w:r>
          </w:p>
          <w:p w:rsidR="00490C45" w:rsidRPr="00C84113" w:rsidRDefault="00490C45" w:rsidP="00407F0A">
            <w:pPr>
              <w:spacing w:after="0" w:line="240" w:lineRule="auto"/>
              <w:ind w:left="-122" w:firstLine="142"/>
              <w:rPr>
                <w:rFonts w:cs="Calibri"/>
                <w:sz w:val="18"/>
                <w:szCs w:val="18"/>
              </w:rPr>
            </w:pPr>
          </w:p>
          <w:p w:rsidR="00490C45" w:rsidRPr="00C84113" w:rsidRDefault="00490C45" w:rsidP="00407F0A">
            <w:pPr>
              <w:spacing w:after="0" w:line="240" w:lineRule="auto"/>
              <w:ind w:left="-122"/>
              <w:rPr>
                <w:rFonts w:cs="Calibri"/>
                <w:sz w:val="18"/>
                <w:szCs w:val="18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490C45" w:rsidRPr="00C84113" w:rsidRDefault="00490C45" w:rsidP="00407F0A">
            <w:pPr>
              <w:tabs>
                <w:tab w:val="left" w:pos="567"/>
              </w:tabs>
              <w:spacing w:after="0" w:line="240" w:lineRule="auto"/>
              <w:jc w:val="center"/>
              <w:rPr>
                <w:rFonts w:cs="Calibri"/>
                <w:b/>
                <w:bCs/>
                <w:caps/>
              </w:rPr>
            </w:pPr>
          </w:p>
        </w:tc>
        <w:tc>
          <w:tcPr>
            <w:tcW w:w="5812" w:type="dxa"/>
          </w:tcPr>
          <w:p w:rsidR="00490C45" w:rsidRPr="00C84113" w:rsidRDefault="00490C45" w:rsidP="00407F0A">
            <w:pPr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4"/>
                <w:szCs w:val="4"/>
              </w:rPr>
            </w:pPr>
          </w:p>
          <w:p w:rsidR="00490C45" w:rsidRDefault="00490C45" w:rsidP="00407F0A">
            <w:pPr>
              <w:spacing w:after="0" w:line="240" w:lineRule="auto"/>
              <w:ind w:firstLine="562"/>
              <w:jc w:val="both"/>
              <w:rPr>
                <w:rFonts w:cs="Calibri"/>
                <w:sz w:val="18"/>
                <w:szCs w:val="18"/>
              </w:rPr>
            </w:pPr>
            <w:r w:rsidRPr="00B86EB8">
              <w:rPr>
                <w:rFonts w:eastAsia="Times New Roman" w:cs="Calibri"/>
                <w:b/>
                <w:sz w:val="18"/>
                <w:szCs w:val="18"/>
              </w:rPr>
              <w:t xml:space="preserve">Latar belakang: 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Data Riskesdas menunjukkan prevalensi </w:t>
            </w:r>
            <w:r w:rsidRPr="004A0BAD">
              <w:rPr>
                <w:rFonts w:eastAsia="Times New Roman"/>
                <w:sz w:val="18"/>
                <w:szCs w:val="18"/>
              </w:rPr>
              <w:t>stunting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 di Indonesia meningkat dari 35,6%</w:t>
            </w:r>
            <w:r w:rsidRPr="004A0BAD">
              <w:rPr>
                <w:rFonts w:eastAsia="Times New Roman"/>
                <w:sz w:val="18"/>
                <w:szCs w:val="18"/>
              </w:rPr>
              <w:t xml:space="preserve"> p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ada </w:t>
            </w:r>
            <w:r w:rsidRPr="004A0BAD">
              <w:rPr>
                <w:rFonts w:eastAsia="Times New Roman"/>
                <w:sz w:val="18"/>
                <w:szCs w:val="18"/>
              </w:rPr>
              <w:t xml:space="preserve">tahun 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2010 menjadi 37,2% pada 2013. Provinsi Sumatera Barat menempati urutan ke 17 dari 34 provinsi </w:t>
            </w:r>
            <w:r w:rsidRPr="004A0BAD">
              <w:rPr>
                <w:rFonts w:eastAsia="Times New Roman"/>
                <w:sz w:val="18"/>
                <w:szCs w:val="18"/>
              </w:rPr>
              <w:t>stunting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 di Indonesia dengan prevalensi anak balita (usia 24-59 bulan) stunting 36,2% lebih tinggi daripada prevalensi nasional 35,3%. </w:t>
            </w:r>
            <w:r>
              <w:rPr>
                <w:rFonts w:eastAsia="Times New Roman"/>
                <w:sz w:val="18"/>
                <w:szCs w:val="18"/>
              </w:rPr>
              <w:t xml:space="preserve">Prevalensi stunting di 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>Pasaman Barat adalah 51</w:t>
            </w:r>
            <w:proofErr w:type="gramStart"/>
            <w:r w:rsidRPr="004A0BAD">
              <w:rPr>
                <w:rFonts w:eastAsia="Times New Roman"/>
                <w:sz w:val="18"/>
                <w:szCs w:val="18"/>
                <w:lang w:val="id-ID"/>
              </w:rPr>
              <w:t>,54</w:t>
            </w:r>
            <w:proofErr w:type="gramEnd"/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% dan jumlah anak stunting adalah 23.435. </w:t>
            </w:r>
            <w:r w:rsidRPr="004A0BAD">
              <w:rPr>
                <w:rFonts w:eastAsia="Times New Roman"/>
                <w:b/>
                <w:sz w:val="18"/>
                <w:szCs w:val="18"/>
              </w:rPr>
              <w:t>Tujuan penelitian</w:t>
            </w:r>
            <w:r w:rsidRPr="004A0BAD">
              <w:rPr>
                <w:rFonts w:eastAsia="Times New Roman"/>
                <w:sz w:val="18"/>
                <w:szCs w:val="18"/>
              </w:rPr>
              <w:t xml:space="preserve">: Diketahui </w:t>
            </w:r>
            <w:r w:rsidR="00020AE9">
              <w:rPr>
                <w:rFonts w:eastAsia="Times New Roman"/>
                <w:sz w:val="18"/>
                <w:szCs w:val="18"/>
              </w:rPr>
              <w:t>factor sanitasi lingkungan penyebab stunting pada balita di wilayah kerja puskesmas Air BAngis Kabupaten Pasaman Barat</w:t>
            </w:r>
            <w:r w:rsidRPr="004A0BAD">
              <w:rPr>
                <w:rFonts w:eastAsia="Times New Roman"/>
                <w:sz w:val="18"/>
                <w:szCs w:val="18"/>
              </w:rPr>
              <w:t xml:space="preserve">. </w:t>
            </w:r>
            <w:proofErr w:type="gramStart"/>
            <w:r w:rsidRPr="004A0BAD">
              <w:rPr>
                <w:rFonts w:cs="Calibri"/>
                <w:b/>
                <w:color w:val="000000"/>
                <w:sz w:val="18"/>
                <w:szCs w:val="18"/>
              </w:rPr>
              <w:t>Metode :</w:t>
            </w:r>
            <w:proofErr w:type="gramEnd"/>
            <w:r w:rsidRPr="004A0BAD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Jenis penelitian adalah cross-sectional dengan pendekatan kuantitatif. </w:t>
            </w:r>
            <w:r w:rsidRPr="004A0BAD">
              <w:rPr>
                <w:rFonts w:eastAsia="Times New Roman"/>
                <w:sz w:val="18"/>
                <w:szCs w:val="18"/>
              </w:rPr>
              <w:t>Populasi adalah seluruh balita yang datang ke posyandu di wilayah kerja Puskesmas Air Bangis. Jumlah s</w:t>
            </w:r>
            <w:r w:rsidRPr="004A0BAD">
              <w:rPr>
                <w:sz w:val="18"/>
                <w:szCs w:val="18"/>
              </w:rPr>
              <w:t xml:space="preserve">ampel adalah 200 balita dipilih secara </w:t>
            </w:r>
            <w:r w:rsidRPr="004A0BAD">
              <w:rPr>
                <w:i/>
                <w:iCs/>
                <w:sz w:val="18"/>
                <w:szCs w:val="18"/>
              </w:rPr>
              <w:t>purposive sampling.</w:t>
            </w:r>
            <w:r w:rsidRPr="004A0BAD">
              <w:rPr>
                <w:rFonts w:cs="TimesNewRomanPS-ItalicMT"/>
                <w:i/>
                <w:iCs/>
                <w:sz w:val="18"/>
                <w:szCs w:val="18"/>
              </w:rPr>
              <w:t xml:space="preserve"> </w:t>
            </w:r>
            <w:r w:rsidRPr="004A0BAD">
              <w:rPr>
                <w:rFonts w:cs="Calibri"/>
                <w:sz w:val="18"/>
                <w:szCs w:val="18"/>
              </w:rPr>
              <w:t>Data yang digunakan adalah data primer dengan metode wawancara dan observasi. Instrumen menggunakan lembar checklist.</w:t>
            </w:r>
            <w:r w:rsidRPr="004A0BAD">
              <w:rPr>
                <w:rFonts w:cs="Calibri"/>
                <w:sz w:val="18"/>
                <w:szCs w:val="18"/>
                <w:lang w:val="id-ID"/>
              </w:rPr>
              <w:t xml:space="preserve"> </w:t>
            </w:r>
            <w:r w:rsidRPr="004A0BAD">
              <w:rPr>
                <w:rFonts w:cs="Calibri"/>
                <w:b/>
                <w:sz w:val="18"/>
                <w:szCs w:val="18"/>
              </w:rPr>
              <w:t>Hasil:</w:t>
            </w:r>
            <w:r w:rsidRPr="004A0BAD">
              <w:rPr>
                <w:rFonts w:cs="Calibri"/>
                <w:sz w:val="18"/>
                <w:szCs w:val="18"/>
              </w:rPr>
              <w:t xml:space="preserve">  didapatkan </w:t>
            </w:r>
            <w:r>
              <w:rPr>
                <w:rFonts w:cs="Calibri"/>
                <w:sz w:val="18"/>
                <w:szCs w:val="18"/>
              </w:rPr>
              <w:t xml:space="preserve">sebagian besar 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balita </w:t>
            </w:r>
            <w:r>
              <w:rPr>
                <w:rFonts w:eastAsia="Times New Roman"/>
                <w:sz w:val="18"/>
                <w:szCs w:val="18"/>
              </w:rPr>
              <w:t>ber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jenis kelamin laki-laki (57,5%), sebagian besar ibu balita memiliki pendidikan sekolah menengah pertama (48,5%) </w:t>
            </w:r>
            <w:r>
              <w:rPr>
                <w:rFonts w:eastAsia="Times New Roman"/>
                <w:sz w:val="18"/>
                <w:szCs w:val="18"/>
                <w:lang w:val="id-ID"/>
              </w:rPr>
              <w:t>dan bekerja sebagai IRT (95,5%)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 </w:t>
            </w:r>
            <w:r w:rsidRPr="004A0BAD">
              <w:rPr>
                <w:rFonts w:eastAsia="Times New Roman"/>
                <w:sz w:val="18"/>
                <w:szCs w:val="18"/>
              </w:rPr>
              <w:t>dengan</w:t>
            </w:r>
            <w:r w:rsidRPr="004A0BAD">
              <w:rPr>
                <w:rFonts w:eastAsia="Times New Roman"/>
                <w:sz w:val="18"/>
                <w:szCs w:val="18"/>
                <w:lang w:val="id-ID"/>
              </w:rPr>
              <w:t xml:space="preserve"> jumlah anak 3-5 orang (67%)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Pr="006C697B">
              <w:rPr>
                <w:rFonts w:cs="Calibri"/>
                <w:sz w:val="18"/>
                <w:szCs w:val="18"/>
              </w:rPr>
              <w:t>posyandu</w:t>
            </w:r>
            <w:r>
              <w:rPr>
                <w:rFonts w:cs="Calibri"/>
                <w:sz w:val="18"/>
                <w:szCs w:val="18"/>
              </w:rPr>
              <w:t xml:space="preserve"> memiliki balita dengan tinggi badan tidak stunting</w:t>
            </w:r>
            <w:r w:rsidRPr="006C697B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(36,5</w:t>
            </w:r>
            <w:r w:rsidRPr="006C697B">
              <w:rPr>
                <w:rFonts w:cs="Calibri"/>
                <w:sz w:val="18"/>
                <w:szCs w:val="18"/>
              </w:rPr>
              <w:t>%</w:t>
            </w:r>
            <w:r>
              <w:rPr>
                <w:rFonts w:cs="Calibri"/>
                <w:sz w:val="18"/>
                <w:szCs w:val="18"/>
              </w:rPr>
              <w:t>)</w:t>
            </w:r>
            <w:r w:rsidRPr="006C697B">
              <w:rPr>
                <w:rFonts w:cs="Calibri"/>
                <w:sz w:val="18"/>
                <w:szCs w:val="18"/>
              </w:rPr>
              <w:t xml:space="preserve"> namun sebagian besar </w:t>
            </w:r>
            <w:r>
              <w:rPr>
                <w:rFonts w:cs="Calibri"/>
                <w:sz w:val="18"/>
                <w:szCs w:val="18"/>
              </w:rPr>
              <w:t xml:space="preserve">responden memiliki </w:t>
            </w:r>
            <w:r w:rsidRPr="006C697B">
              <w:rPr>
                <w:rFonts w:cs="Calibri"/>
                <w:sz w:val="18"/>
                <w:szCs w:val="18"/>
              </w:rPr>
              <w:t xml:space="preserve">sanitasi lingkungan </w:t>
            </w:r>
            <w:r>
              <w:rPr>
                <w:rFonts w:cs="Calibri"/>
                <w:sz w:val="18"/>
                <w:szCs w:val="18"/>
              </w:rPr>
              <w:t>yang tidak baik (37%) dan memiliki balita stunting (23%)</w:t>
            </w:r>
            <w:r w:rsidRPr="006C697B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 xml:space="preserve"> terdapat hubungan antara sanitasi lingkungan dengan stunting pada balita di wilayah kerja puskesmas Air Bangis Kabupaten Pasaman Barat. </w:t>
            </w:r>
            <w:r w:rsidRPr="006C697B">
              <w:rPr>
                <w:rFonts w:eastAsia="Times New Roman"/>
                <w:sz w:val="18"/>
                <w:szCs w:val="18"/>
              </w:rPr>
              <w:t xml:space="preserve"> </w:t>
            </w:r>
            <w:r w:rsidRPr="006C697B">
              <w:rPr>
                <w:rFonts w:cs="Calibri"/>
                <w:b/>
                <w:sz w:val="18"/>
                <w:szCs w:val="18"/>
              </w:rPr>
              <w:t>Simpulan</w:t>
            </w:r>
            <w:r w:rsidRPr="006C697B">
              <w:rPr>
                <w:rFonts w:cs="Calibri"/>
                <w:sz w:val="18"/>
                <w:szCs w:val="18"/>
              </w:rPr>
              <w:t xml:space="preserve">: </w:t>
            </w:r>
          </w:p>
          <w:p w:rsidR="00880A38" w:rsidRPr="00B86EB8" w:rsidRDefault="00880A38" w:rsidP="00880A3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factor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sanitasi lingkungan dapat menye</w:t>
            </w:r>
            <w:r w:rsidR="00CA6A2B">
              <w:rPr>
                <w:rFonts w:asciiTheme="minorHAnsi" w:hAnsiTheme="minorHAnsi"/>
                <w:sz w:val="18"/>
                <w:szCs w:val="18"/>
              </w:rPr>
              <w:t>babkan stunting pada balita di w</w:t>
            </w:r>
            <w:r>
              <w:rPr>
                <w:rFonts w:asciiTheme="minorHAnsi" w:hAnsiTheme="minorHAnsi"/>
                <w:sz w:val="18"/>
                <w:szCs w:val="18"/>
              </w:rPr>
              <w:t>ilayah kerja Puskesmas Air Bangis Kabupaten Pasaman Barat.</w:t>
            </w:r>
          </w:p>
          <w:p w:rsidR="00880A38" w:rsidRDefault="00880A38" w:rsidP="00020AE9">
            <w:pPr>
              <w:pStyle w:val="HTMLPreformatted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20AE9" w:rsidRPr="00020AE9" w:rsidRDefault="00490C45" w:rsidP="00020AE9">
            <w:pPr>
              <w:pStyle w:val="HTMLPreformatted"/>
              <w:jc w:val="both"/>
            </w:pPr>
            <w:r w:rsidRPr="00F77309">
              <w:rPr>
                <w:rFonts w:ascii="Calibri" w:hAnsi="Calibri"/>
                <w:b/>
                <w:sz w:val="18"/>
                <w:szCs w:val="18"/>
              </w:rPr>
              <w:t>Background</w:t>
            </w:r>
            <w:r w:rsidRPr="00490C45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 xml:space="preserve"> Riskesdas data shows the prevalence of stunting in Indonesia increased from 35.6% in 2010 to 37.2% in 2013. West Sumatra Province ranks 17th out of 34 stunting provinces in Indonesia with the prevalence of children under five (ages 24-59 months) stunting </w:t>
            </w:r>
            <w:proofErr w:type="gramStart"/>
            <w:r w:rsidRPr="00490C45">
              <w:rPr>
                <w:rFonts w:asciiTheme="minorHAnsi" w:hAnsiTheme="minorHAnsi"/>
                <w:sz w:val="18"/>
                <w:szCs w:val="18"/>
              </w:rPr>
              <w:t>36 ,</w:t>
            </w:r>
            <w:proofErr w:type="gramEnd"/>
            <w:r w:rsidRPr="00490C45">
              <w:rPr>
                <w:rFonts w:asciiTheme="minorHAnsi" w:hAnsiTheme="minorHAnsi"/>
                <w:sz w:val="18"/>
                <w:szCs w:val="18"/>
              </w:rPr>
              <w:t xml:space="preserve"> 2% higher than the national prevalence of 35.3%. The prevalence of stunting in West Pasaman is 51.54% and the number of stunting children is 23,435. </w:t>
            </w:r>
            <w:r w:rsidRPr="00490C45">
              <w:rPr>
                <w:rFonts w:asciiTheme="minorHAnsi" w:hAnsiTheme="minorHAnsi"/>
                <w:b/>
                <w:sz w:val="18"/>
                <w:szCs w:val="18"/>
              </w:rPr>
              <w:t>The purpose of this study: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20AE9" w:rsidRPr="00020AE9">
              <w:rPr>
                <w:rFonts w:asciiTheme="minorHAnsi" w:hAnsiTheme="minorHAnsi"/>
                <w:sz w:val="18"/>
                <w:szCs w:val="18"/>
              </w:rPr>
              <w:t xml:space="preserve">Known environmental sanitation factors that cause stunting in infants in the work area of </w:t>
            </w:r>
            <w:r w:rsidR="00020AE9" w:rsidRPr="00020AE9">
              <w:rPr>
                <w:rFonts w:asciiTheme="minorHAnsi" w:hAnsiTheme="minorHAnsi" w:cs="Cambria Math"/>
                <w:sz w:val="18"/>
                <w:szCs w:val="18"/>
              </w:rPr>
              <w:t>​​</w:t>
            </w:r>
            <w:r w:rsidR="00020AE9" w:rsidRPr="00020AE9">
              <w:rPr>
                <w:rFonts w:asciiTheme="minorHAnsi" w:hAnsiTheme="minorHAnsi"/>
                <w:sz w:val="18"/>
                <w:szCs w:val="18"/>
              </w:rPr>
              <w:t>the Air Health Center in West Pasaman Regency.</w:t>
            </w:r>
          </w:p>
          <w:p w:rsidR="00CA6A2B" w:rsidRPr="00CA6A2B" w:rsidRDefault="00490C45" w:rsidP="00CA6A2B">
            <w:pPr>
              <w:pStyle w:val="HTMLPreformatted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90C4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76620B">
              <w:rPr>
                <w:rFonts w:asciiTheme="minorHAnsi" w:hAnsiTheme="minorHAnsi"/>
                <w:b/>
                <w:sz w:val="18"/>
                <w:szCs w:val="18"/>
              </w:rPr>
              <w:t>Method: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 xml:space="preserve"> This type of research is cross-sectional with a quantitative approach. The population is all children under five who come to the posyandu in the work area of </w:t>
            </w:r>
            <w:r w:rsidRPr="00490C45">
              <w:rPr>
                <w:rFonts w:asciiTheme="minorHAnsi" w:hAnsiTheme="minorHAnsi" w:cs="Cambria Math"/>
                <w:sz w:val="18"/>
                <w:szCs w:val="18"/>
              </w:rPr>
              <w:t>​​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>the Air Bangis Com</w:t>
            </w:r>
            <w:bookmarkStart w:id="1" w:name="_GoBack"/>
            <w:bookmarkEnd w:id="1"/>
            <w:r w:rsidRPr="00490C45">
              <w:rPr>
                <w:rFonts w:asciiTheme="minorHAnsi" w:hAnsiTheme="minorHAnsi"/>
                <w:sz w:val="18"/>
                <w:szCs w:val="18"/>
              </w:rPr>
              <w:t xml:space="preserve">munity Health Center. The number of samples is 200 toddlers selected by purposive sampling. The data used are primary data with interview and observation methods. The instrument uses a checklist sheet. </w:t>
            </w:r>
            <w:r w:rsidRPr="0076620B">
              <w:rPr>
                <w:rFonts w:asciiTheme="minorHAnsi" w:hAnsiTheme="minorHAnsi"/>
                <w:b/>
                <w:sz w:val="18"/>
                <w:szCs w:val="18"/>
              </w:rPr>
              <w:t>Results: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 xml:space="preserve"> found that most of the toddlers are male (57.5%), most of the toddler mothers have junior high school education (48.5%) and work as IRT (95.5%) with 3-5 children (67%), posyandu has toddlers with stunting height (36.5%) but the majority of respondents have poor environmental sanitation (37%) and have stunting toddlers (23%). there is a relationship between environmental sanitation with stunting in infants in the working area of </w:t>
            </w:r>
            <w:r w:rsidRPr="00490C45">
              <w:rPr>
                <w:rFonts w:asciiTheme="minorHAnsi" w:hAnsiTheme="minorHAnsi" w:cs="Cambria Math"/>
                <w:sz w:val="18"/>
                <w:szCs w:val="18"/>
              </w:rPr>
              <w:t>​​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 xml:space="preserve">Air Bangis Community Health Center in West Pasaman Regency. </w:t>
            </w:r>
            <w:r w:rsidRPr="0076620B">
              <w:rPr>
                <w:rFonts w:asciiTheme="minorHAnsi" w:hAnsiTheme="minorHAnsi"/>
                <w:b/>
                <w:sz w:val="18"/>
                <w:szCs w:val="18"/>
              </w:rPr>
              <w:t>Conclusion:</w:t>
            </w:r>
            <w:r w:rsidRPr="00490C4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A6A2B">
              <w:rPr>
                <w:rFonts w:asciiTheme="minorHAnsi" w:hAnsiTheme="minorHAnsi"/>
                <w:sz w:val="18"/>
                <w:szCs w:val="18"/>
              </w:rPr>
              <w:t>e</w:t>
            </w:r>
            <w:r w:rsidR="00CA6A2B" w:rsidRPr="00CA6A2B">
              <w:rPr>
                <w:rFonts w:asciiTheme="minorHAnsi" w:hAnsiTheme="minorHAnsi"/>
                <w:sz w:val="18"/>
                <w:szCs w:val="18"/>
              </w:rPr>
              <w:t xml:space="preserve">nvironmental sanitation factors can cause stunting in children under five in the area of </w:t>
            </w:r>
            <w:r w:rsidR="00CA6A2B" w:rsidRPr="00CA6A2B">
              <w:rPr>
                <w:rFonts w:asciiTheme="minorHAnsi" w:hAnsiTheme="minorHAnsi" w:cs="Cambria Math"/>
                <w:sz w:val="18"/>
                <w:szCs w:val="18"/>
              </w:rPr>
              <w:t>​​</w:t>
            </w:r>
            <w:r w:rsidR="00CA6A2B" w:rsidRPr="00CA6A2B">
              <w:rPr>
                <w:rFonts w:asciiTheme="minorHAnsi" w:hAnsiTheme="minorHAnsi"/>
                <w:sz w:val="18"/>
                <w:szCs w:val="18"/>
              </w:rPr>
              <w:t>Air Bangis Health Center, West Pasaman Regency.</w:t>
            </w:r>
          </w:p>
          <w:p w:rsidR="00490C45" w:rsidRPr="00C84113" w:rsidRDefault="00490C45" w:rsidP="00407F0A">
            <w:pPr>
              <w:tabs>
                <w:tab w:val="left" w:pos="567"/>
              </w:tabs>
              <w:spacing w:after="0" w:line="240" w:lineRule="auto"/>
              <w:ind w:right="-102"/>
              <w:rPr>
                <w:rFonts w:cs="Calibri"/>
                <w:b/>
                <w:bCs/>
                <w:caps/>
              </w:rPr>
            </w:pPr>
          </w:p>
        </w:tc>
      </w:tr>
    </w:tbl>
    <w:p w:rsidR="00490C45" w:rsidRPr="006E3AEA" w:rsidRDefault="00490C45" w:rsidP="00490C45">
      <w:pPr>
        <w:tabs>
          <w:tab w:val="left" w:pos="567"/>
        </w:tabs>
        <w:jc w:val="both"/>
        <w:rPr>
          <w:rFonts w:ascii="Times New Roman" w:hAnsi="Times New Roman"/>
          <w:b/>
          <w:bCs/>
          <w:caps/>
        </w:rPr>
        <w:sectPr w:rsidR="00490C45" w:rsidRPr="006E3AEA" w:rsidSect="00490C45">
          <w:headerReference w:type="even" r:id="rId8"/>
          <w:footerReference w:type="even" r:id="rId9"/>
          <w:footnotePr>
            <w:pos w:val="beneathText"/>
          </w:footnotePr>
          <w:pgSz w:w="11907" w:h="16840" w:code="9"/>
          <w:pgMar w:top="1412" w:right="992" w:bottom="1140" w:left="1412" w:header="720" w:footer="720" w:gutter="0"/>
          <w:pgNumType w:start="9" w:chapStyle="1"/>
          <w:cols w:space="340"/>
          <w:docGrid w:linePitch="360"/>
        </w:sectPr>
      </w:pPr>
    </w:p>
    <w:p w:rsidR="00490C45" w:rsidRPr="00C84113" w:rsidRDefault="00490C45" w:rsidP="00490C45">
      <w:pPr>
        <w:tabs>
          <w:tab w:val="left" w:pos="567"/>
        </w:tabs>
        <w:spacing w:after="0" w:line="240" w:lineRule="auto"/>
        <w:jc w:val="both"/>
        <w:rPr>
          <w:rFonts w:cs="Calibri"/>
          <w:b/>
          <w:bCs/>
          <w:caps/>
          <w:color w:val="FFFFFF"/>
        </w:rPr>
      </w:pPr>
      <w:r w:rsidRPr="00C84113">
        <w:rPr>
          <w:rFonts w:cs="Calibri"/>
          <w:b/>
          <w:bCs/>
        </w:rPr>
        <w:lastRenderedPageBreak/>
        <w:t>Pendahuluan</w:t>
      </w:r>
      <w:r w:rsidRPr="00C84113">
        <w:rPr>
          <w:rStyle w:val="FootnoteReference"/>
          <w:rFonts w:cs="Calibri"/>
          <w:b/>
          <w:bCs/>
          <w:caps/>
          <w:color w:val="FFFFFF"/>
        </w:rPr>
        <w:footnoteReference w:customMarkFollows="1" w:id="1"/>
        <w:sym w:font="Symbol" w:char="F02A"/>
      </w:r>
    </w:p>
    <w:p w:rsidR="00490C45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</w:pPr>
      <w:r w:rsidRPr="004A0BAD">
        <w:rPr>
          <w:i/>
          <w:iCs/>
        </w:rPr>
        <w:lastRenderedPageBreak/>
        <w:t xml:space="preserve">Stunting </w:t>
      </w:r>
      <w:r w:rsidRPr="004A0BAD">
        <w:t xml:space="preserve">merupakan tinggi badan yang kurang menurut umur (&lt;-2SD), ditandai dengan terlambatnya pertumbuhan anak yang mengakibatkan kegagalan untuk mencapai tinggi </w:t>
      </w:r>
      <w:r w:rsidRPr="004A0BAD">
        <w:lastRenderedPageBreak/>
        <w:t xml:space="preserve">badan yang normal sesuai </w:t>
      </w:r>
      <w:proofErr w:type="gramStart"/>
      <w:r w:rsidRPr="004A0BAD">
        <w:t>usia</w:t>
      </w:r>
      <w:proofErr w:type="gramEnd"/>
      <w:r w:rsidRPr="004A0BAD">
        <w:t xml:space="preserve"> anak. Dampak jangka pendek berupa peningkatan mortalitas dan morbiditas sedangkan dampak jangka panjang berupa perawakan yang pendek, penurunan kesehatan reproduksi, penurunan kapasitas belajar</w:t>
      </w:r>
      <w:proofErr w:type="gramStart"/>
      <w:r w:rsidRPr="004A0BAD">
        <w:t>,dan</w:t>
      </w:r>
      <w:proofErr w:type="gramEnd"/>
      <w:r w:rsidRPr="004A0BAD">
        <w:t xml:space="preserve"> peningkatan penyakit tidak menular. </w:t>
      </w:r>
      <w:proofErr w:type="gramStart"/>
      <w:r w:rsidRPr="004A0BAD">
        <w:t xml:space="preserve">Pada akhirnya </w:t>
      </w:r>
      <w:r w:rsidRPr="004A0BAD">
        <w:rPr>
          <w:i/>
          <w:iCs/>
        </w:rPr>
        <w:t xml:space="preserve">stunting </w:t>
      </w:r>
      <w:r w:rsidRPr="004A0BAD">
        <w:t>berdampak pada pendek lintas generasi.</w:t>
      </w:r>
      <w:proofErr w:type="gramEnd"/>
      <w:r w:rsidRPr="004A0BAD">
        <w:t xml:space="preserve"> </w:t>
      </w:r>
      <w:proofErr w:type="gramStart"/>
      <w:r w:rsidRPr="004A0BAD">
        <w:t xml:space="preserve">Balita lebih beresiko terhadap </w:t>
      </w:r>
      <w:r w:rsidRPr="004A0BAD">
        <w:rPr>
          <w:i/>
          <w:iCs/>
        </w:rPr>
        <w:t xml:space="preserve">stunting </w:t>
      </w:r>
      <w:r w:rsidRPr="004A0BAD">
        <w:t>karena lebih rentan terhadap perubahan.</w:t>
      </w:r>
      <w:proofErr w:type="gramEnd"/>
      <w:r w:rsidRPr="004A0BAD">
        <w:t xml:space="preserve"> </w:t>
      </w:r>
      <w:r w:rsidRPr="004A0BAD">
        <w:rPr>
          <w:i/>
          <w:iCs/>
        </w:rPr>
        <w:t xml:space="preserve">Stunting </w:t>
      </w:r>
      <w:r w:rsidRPr="004A0BAD">
        <w:t xml:space="preserve">dapat menyebabkan perkembangan sel otak tidak sempurna Apabila gangguan tersebut terus berlangsung maka </w:t>
      </w:r>
      <w:proofErr w:type="gramStart"/>
      <w:r w:rsidRPr="004A0BAD">
        <w:t>akan</w:t>
      </w:r>
      <w:proofErr w:type="gramEnd"/>
      <w:r w:rsidRPr="004A0BAD">
        <w:t xml:space="preserve"> terjadi penurunan skor tes IQ sebesar 10-13 point sehingga anak-anak tersebut akan menjadi beban bagi masyarakat dan pemerintah, karena harus mengeluarkan biaya kesehatan yang tinggi akibat warganya mudah sakit. Data Riskesdas menunjukkan prevalensi stunting di Indonesia meningkat dari 35</w:t>
      </w:r>
      <w:proofErr w:type="gramStart"/>
      <w:r w:rsidRPr="004A0BAD">
        <w:t>,6</w:t>
      </w:r>
      <w:proofErr w:type="gramEnd"/>
      <w:r w:rsidRPr="004A0BAD">
        <w:t>%. Pada tahun 2010 menjadi 37</w:t>
      </w:r>
      <w:proofErr w:type="gramStart"/>
      <w:r w:rsidRPr="004A0BAD">
        <w:t>,2</w:t>
      </w:r>
      <w:proofErr w:type="gramEnd"/>
      <w:r w:rsidRPr="004A0BAD">
        <w:t xml:space="preserve"> % tahun 2013. Prevalensi tersebut menjadikan Indonesia </w:t>
      </w:r>
      <w:proofErr w:type="gramStart"/>
      <w:r w:rsidRPr="004A0BAD">
        <w:t>lima</w:t>
      </w:r>
      <w:proofErr w:type="gramEnd"/>
      <w:r w:rsidRPr="004A0BAD">
        <w:t xml:space="preserve"> besar Negara dengan angka stunting tertinggi di dunia. </w:t>
      </w:r>
    </w:p>
    <w:p w:rsidR="00490C45" w:rsidRDefault="00490C45" w:rsidP="00DC79F1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cs="Calibri"/>
        </w:rPr>
      </w:pPr>
      <w:r w:rsidRPr="004A0BAD">
        <w:t xml:space="preserve">Provinsi Sumatera Barat menempati urutan ke-17 dari 34 Propinsi stunting di Indonesia dengan prevalensi balita (usia 24-59 bulan) stunting sebesar 36,2% lebih tinggi dari prevalensi nasional yaitu 35,3%. Pasaman Barat merupakan urutan kedua Kabupaten/kota di Provinsi Sumatera Barat dengan prevalensi stunting sebesar 51,54% dengan jumlah balita </w:t>
      </w:r>
      <w:r w:rsidRPr="004A0BAD">
        <w:rPr>
          <w:i/>
          <w:iCs/>
        </w:rPr>
        <w:t xml:space="preserve">stunting </w:t>
      </w:r>
      <w:r w:rsidRPr="004A0BAD">
        <w:t xml:space="preserve">adalah 23.435 jiwa. </w:t>
      </w:r>
      <w:proofErr w:type="gramStart"/>
      <w:r w:rsidRPr="004A0BAD">
        <w:t xml:space="preserve">Nagari Air Bangis Kabupaten Pasaman Barat merupakan salah satu Nagari di 100 Kabupaten/Kota di Sumatera </w:t>
      </w:r>
      <w:r w:rsidRPr="00D33991">
        <w:rPr>
          <w:rFonts w:cs="Arial"/>
        </w:rPr>
        <w:t>Barat</w:t>
      </w:r>
      <w:r w:rsidRPr="004A0BAD">
        <w:t xml:space="preserve"> yang mendapatkan prioritas tahap I penanganan </w:t>
      </w:r>
      <w:r w:rsidRPr="004A0BAD">
        <w:rPr>
          <w:i/>
          <w:iCs/>
        </w:rPr>
        <w:t xml:space="preserve">stunting </w:t>
      </w:r>
      <w:r w:rsidRPr="004A0BAD">
        <w:t>di Indonesia tahun 2018.</w:t>
      </w:r>
      <w:proofErr w:type="gramEnd"/>
      <w:r w:rsidRPr="004A0BAD">
        <w:t xml:space="preserve"> </w:t>
      </w:r>
      <w:proofErr w:type="gramStart"/>
      <w:r w:rsidRPr="004A0BAD">
        <w:t xml:space="preserve">Prevalensi </w:t>
      </w:r>
      <w:r w:rsidRPr="004A0BAD">
        <w:rPr>
          <w:i/>
          <w:iCs/>
        </w:rPr>
        <w:t xml:space="preserve">stuting </w:t>
      </w:r>
      <w:r w:rsidRPr="004A0BAD">
        <w:t xml:space="preserve">bisa saja meningkat apabila faktor-faktor risiko penyebab </w:t>
      </w:r>
      <w:r w:rsidRPr="004A0BAD">
        <w:rPr>
          <w:i/>
          <w:iCs/>
        </w:rPr>
        <w:t xml:space="preserve">stunting </w:t>
      </w:r>
      <w:r w:rsidRPr="004A0BAD">
        <w:t>tidak diperhatikan.</w:t>
      </w:r>
      <w:proofErr w:type="gramEnd"/>
      <w:r w:rsidRPr="004A0BAD">
        <w:t xml:space="preserve"> </w:t>
      </w:r>
      <w:proofErr w:type="gramStart"/>
      <w:r w:rsidR="002759E6">
        <w:t>Salah satunya adalah sanitasi lingkungan.</w:t>
      </w:r>
      <w:proofErr w:type="gramEnd"/>
      <w:r w:rsidR="002759E6">
        <w:t xml:space="preserve"> </w:t>
      </w:r>
      <w:r w:rsidRPr="004A0BAD">
        <w:t xml:space="preserve">Kejadian stunting pada baduta di Indonesia tahun 2014 didapatkan bahwa keluarga yang menggunakan sanitasi lingkungan (penggunaan fasilitas buang air besar dan tempat pembuangan akhir kotoran ) yang tidak layak memiliki risiko 1,2 kali badutanya untuk </w:t>
      </w:r>
      <w:r w:rsidRPr="004A0BAD">
        <w:rPr>
          <w:i/>
          <w:iCs/>
        </w:rPr>
        <w:t xml:space="preserve">stunting. </w:t>
      </w:r>
    </w:p>
    <w:p w:rsidR="00490C45" w:rsidRPr="00C84113" w:rsidRDefault="00490C45" w:rsidP="00490C45">
      <w:pPr>
        <w:spacing w:after="0" w:line="240" w:lineRule="auto"/>
        <w:rPr>
          <w:rFonts w:cs="Calibri"/>
          <w:b/>
        </w:rPr>
      </w:pPr>
      <w:r w:rsidRPr="00C84113">
        <w:rPr>
          <w:rFonts w:cs="Calibri"/>
          <w:b/>
        </w:rPr>
        <w:t>Metode penelitian</w:t>
      </w: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szCs w:val="18"/>
        </w:rPr>
      </w:pPr>
      <w:proofErr w:type="gramStart"/>
      <w:r w:rsidRPr="004A0BAD">
        <w:rPr>
          <w:szCs w:val="18"/>
        </w:rPr>
        <w:t xml:space="preserve">Jenis penelitian yang digunakan dalam penelitian ini adalah </w:t>
      </w:r>
      <w:r w:rsidRPr="004A0BAD">
        <w:rPr>
          <w:i/>
          <w:iCs/>
          <w:szCs w:val="18"/>
        </w:rPr>
        <w:t xml:space="preserve">cross-sectional </w:t>
      </w:r>
      <w:r w:rsidRPr="004A0BAD">
        <w:rPr>
          <w:szCs w:val="18"/>
        </w:rPr>
        <w:t>dengan pendekatan kuantitatif.</w:t>
      </w:r>
      <w:proofErr w:type="gramEnd"/>
      <w:r w:rsidRPr="004A0BAD">
        <w:rPr>
          <w:szCs w:val="18"/>
        </w:rPr>
        <w:t xml:space="preserve"> Variabel dependen dalam penelitian ini adalah kejadian </w:t>
      </w:r>
      <w:r w:rsidRPr="004A0BAD">
        <w:rPr>
          <w:i/>
          <w:iCs/>
          <w:szCs w:val="18"/>
        </w:rPr>
        <w:t xml:space="preserve">stunting </w:t>
      </w:r>
      <w:r w:rsidRPr="004A0BAD">
        <w:rPr>
          <w:szCs w:val="18"/>
        </w:rPr>
        <w:t xml:space="preserve">pada balita </w:t>
      </w:r>
      <w:proofErr w:type="gramStart"/>
      <w:r w:rsidRPr="004A0BAD">
        <w:rPr>
          <w:szCs w:val="18"/>
        </w:rPr>
        <w:t>usia</w:t>
      </w:r>
      <w:proofErr w:type="gramEnd"/>
      <w:r w:rsidRPr="004A0BAD">
        <w:rPr>
          <w:szCs w:val="18"/>
        </w:rPr>
        <w:t xml:space="preserve"> 24-59 bulan. Variabel independennya adalah karakteristik balita (</w:t>
      </w:r>
      <w:proofErr w:type="gramStart"/>
      <w:r w:rsidRPr="004A0BAD">
        <w:rPr>
          <w:szCs w:val="18"/>
        </w:rPr>
        <w:t>usia</w:t>
      </w:r>
      <w:proofErr w:type="gramEnd"/>
      <w:r w:rsidRPr="004A0BAD">
        <w:rPr>
          <w:szCs w:val="18"/>
        </w:rPr>
        <w:t xml:space="preserve">, jenis kelamin, berat badan lahir, panjang lahir, imunisasi dasar) karakteristik ibu balita (usia ibu, tinggi ibu, </w:t>
      </w:r>
      <w:r w:rsidR="003237CF">
        <w:rPr>
          <w:szCs w:val="18"/>
        </w:rPr>
        <w:t xml:space="preserve">jumlah </w:t>
      </w:r>
      <w:r w:rsidR="003237CF">
        <w:rPr>
          <w:szCs w:val="18"/>
        </w:rPr>
        <w:lastRenderedPageBreak/>
        <w:t xml:space="preserve">pendidikan ibu) dan </w:t>
      </w:r>
      <w:r w:rsidR="00DC79F1">
        <w:rPr>
          <w:szCs w:val="18"/>
        </w:rPr>
        <w:t xml:space="preserve">variabel sanitasi lingkungan. </w:t>
      </w:r>
      <w:proofErr w:type="gramStart"/>
      <w:r w:rsidRPr="004A0BAD">
        <w:rPr>
          <w:szCs w:val="18"/>
        </w:rPr>
        <w:t>Populasi dalam penelitian ini adalah seluruh balita yang datang ke posyandu di wilayah kerja puskesmas Air Bangis Kabupaten Pasaman</w:t>
      </w:r>
      <w:r w:rsidRPr="004A0BAD">
        <w:rPr>
          <w:sz w:val="26"/>
        </w:rPr>
        <w:t xml:space="preserve"> </w:t>
      </w:r>
      <w:r w:rsidRPr="004A0BAD">
        <w:rPr>
          <w:szCs w:val="18"/>
        </w:rPr>
        <w:t>Barat.</w:t>
      </w:r>
      <w:proofErr w:type="gramEnd"/>
      <w:r w:rsidRPr="004A0BAD">
        <w:rPr>
          <w:szCs w:val="18"/>
        </w:rPr>
        <w:t xml:space="preserve">  </w:t>
      </w:r>
      <w:proofErr w:type="gramStart"/>
      <w:r w:rsidRPr="004A0BAD">
        <w:rPr>
          <w:szCs w:val="18"/>
        </w:rPr>
        <w:t xml:space="preserve">Sampel dalam penelitian ini diambil dengan teknik </w:t>
      </w:r>
      <w:r w:rsidRPr="004A0BAD">
        <w:rPr>
          <w:i/>
          <w:iCs/>
          <w:szCs w:val="18"/>
        </w:rPr>
        <w:t xml:space="preserve">consecutive sampling </w:t>
      </w:r>
      <w:r w:rsidRPr="004A0BAD">
        <w:rPr>
          <w:szCs w:val="18"/>
        </w:rPr>
        <w:t>yang dilakukan di beberapa posyandu.</w:t>
      </w:r>
      <w:proofErr w:type="gramEnd"/>
      <w:r w:rsidRPr="004A0BAD">
        <w:rPr>
          <w:szCs w:val="18"/>
        </w:rPr>
        <w:t xml:space="preserve"> </w:t>
      </w:r>
      <w:proofErr w:type="gramStart"/>
      <w:r w:rsidRPr="004A0BAD">
        <w:rPr>
          <w:szCs w:val="18"/>
        </w:rPr>
        <w:t>Terpilih 3 posyandu dari 18 posyandu yang ada dengan pertimbangan waktu pelaksanaan posyandu bertepatan dengan waktu penelitian.</w:t>
      </w:r>
      <w:proofErr w:type="gramEnd"/>
      <w:r w:rsidRPr="004A0BAD">
        <w:rPr>
          <w:szCs w:val="18"/>
        </w:rPr>
        <w:t xml:space="preserve"> </w:t>
      </w:r>
      <w:proofErr w:type="gramStart"/>
      <w:r w:rsidRPr="004A0BAD">
        <w:rPr>
          <w:szCs w:val="18"/>
        </w:rPr>
        <w:t>Sampel dalam penelitian ini berjumlah 200 balita di wilayah kerja Puskesmas Air Bangis.</w:t>
      </w:r>
      <w:proofErr w:type="gramEnd"/>
    </w:p>
    <w:p w:rsidR="00490C45" w:rsidRPr="004A0BAD" w:rsidRDefault="00490C45" w:rsidP="00490C4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18"/>
        </w:rPr>
      </w:pPr>
    </w:p>
    <w:p w:rsidR="00490C45" w:rsidRPr="00D50633" w:rsidRDefault="00490C45" w:rsidP="00490C45">
      <w:pPr>
        <w:spacing w:after="0" w:line="240" w:lineRule="auto"/>
        <w:jc w:val="both"/>
        <w:rPr>
          <w:rFonts w:cs="Calibri"/>
          <w:b/>
          <w:bCs/>
          <w:szCs w:val="18"/>
        </w:rPr>
      </w:pPr>
      <w:r w:rsidRPr="00D50633">
        <w:rPr>
          <w:rFonts w:cs="Calibri"/>
          <w:b/>
          <w:bCs/>
          <w:szCs w:val="18"/>
        </w:rPr>
        <w:t>Hasil dan Pembahasan</w:t>
      </w: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szCs w:val="18"/>
        </w:rPr>
      </w:pPr>
      <w:r w:rsidRPr="004A0BAD">
        <w:rPr>
          <w:szCs w:val="18"/>
        </w:rPr>
        <w:t xml:space="preserve">Distribusi </w:t>
      </w:r>
      <w:r w:rsidRPr="00D33991">
        <w:rPr>
          <w:rFonts w:cs="Arial"/>
        </w:rPr>
        <w:t>responden</w:t>
      </w:r>
      <w:r w:rsidRPr="004A0BAD">
        <w:rPr>
          <w:szCs w:val="18"/>
        </w:rPr>
        <w:t xml:space="preserve"> berdasarkan jenis kelamin balita, panjang lahir balita, pendidikan ibu, jumlah anak, dan pekerjaan ibu</w:t>
      </w:r>
    </w:p>
    <w:p w:rsidR="00490C45" w:rsidRDefault="00490C45" w:rsidP="00490C45">
      <w:pPr>
        <w:spacing w:after="0" w:line="240" w:lineRule="auto"/>
        <w:jc w:val="both"/>
        <w:rPr>
          <w:rFonts w:cs="Calibri"/>
          <w:b/>
          <w:sz w:val="18"/>
          <w:szCs w:val="18"/>
          <w:lang w:val="sv-SE"/>
        </w:rPr>
      </w:pPr>
    </w:p>
    <w:p w:rsidR="00490C45" w:rsidRPr="00D50633" w:rsidRDefault="00490C45" w:rsidP="00490C45">
      <w:pPr>
        <w:spacing w:after="0" w:line="240" w:lineRule="auto"/>
        <w:jc w:val="both"/>
        <w:rPr>
          <w:rFonts w:cs="Calibri"/>
          <w:b/>
          <w:sz w:val="18"/>
          <w:szCs w:val="18"/>
          <w:lang w:val="sv-SE"/>
        </w:rPr>
      </w:pPr>
      <w:r w:rsidRPr="00D50633">
        <w:rPr>
          <w:rFonts w:cs="Calibri"/>
          <w:b/>
          <w:sz w:val="18"/>
          <w:szCs w:val="18"/>
          <w:lang w:val="sv-SE"/>
        </w:rPr>
        <w:t>Tabel 1. Distribusi responden berdasarkan jenis kelamin balita, panjang lahir balita, pendidikan ibu, jumlah anak dan pekerjaan ibu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1134"/>
      </w:tblGrid>
      <w:tr w:rsidR="00490C45" w:rsidRPr="004A0BAD" w:rsidTr="00407F0A">
        <w:trPr>
          <w:trHeight w:val="299"/>
        </w:trPr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>Karakteristik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>Frek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>%</w:t>
            </w:r>
          </w:p>
        </w:tc>
      </w:tr>
      <w:tr w:rsidR="00490C45" w:rsidRPr="004A0BAD" w:rsidTr="00407F0A">
        <w:tc>
          <w:tcPr>
            <w:tcW w:w="209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 xml:space="preserve">Jenis kelamin 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Laki-laki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 xml:space="preserve">Perempuan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115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57,5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42,5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>Jumlah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>Pendidikan ibu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SD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SMP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SMA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38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97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19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48,5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32,5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 xml:space="preserve">Jumlah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>Jumlah Anak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2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3-5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&gt; 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11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134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5,5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67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27,5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 xml:space="preserve">Jumlah 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 xml:space="preserve">Pekerjaan 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IRT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</w:tabs>
              <w:ind w:left="284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Bekerja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191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both"/>
              <w:rPr>
                <w:rFonts w:ascii="Calibri" w:hAnsi="Calibri" w:cs="Times New Roman"/>
                <w:sz w:val="18"/>
                <w:szCs w:val="18"/>
              </w:rPr>
            </w:pP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95,5</w:t>
            </w:r>
          </w:p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4,5</w:t>
            </w:r>
          </w:p>
        </w:tc>
      </w:tr>
      <w:tr w:rsidR="00490C45" w:rsidRPr="004A0BAD" w:rsidTr="00407F0A">
        <w:tc>
          <w:tcPr>
            <w:tcW w:w="209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both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b/>
                <w:sz w:val="18"/>
                <w:szCs w:val="18"/>
              </w:rPr>
              <w:t xml:space="preserve">Jumlah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90C45" w:rsidRPr="004A0BAD" w:rsidRDefault="00490C45" w:rsidP="00407F0A">
            <w:pPr>
              <w:pStyle w:val="HTMLPreformatted"/>
              <w:tabs>
                <w:tab w:val="clear" w:pos="916"/>
                <w:tab w:val="left" w:pos="567"/>
              </w:tabs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4A0BAD">
              <w:rPr>
                <w:rFonts w:ascii="Calibri" w:hAnsi="Calibri" w:cs="Times New Roman"/>
                <w:sz w:val="18"/>
                <w:szCs w:val="18"/>
              </w:rPr>
              <w:t>100</w:t>
            </w:r>
          </w:p>
        </w:tc>
      </w:tr>
    </w:tbl>
    <w:p w:rsidR="00490C45" w:rsidRDefault="00490C45" w:rsidP="00490C45">
      <w:pPr>
        <w:spacing w:after="0" w:line="240" w:lineRule="auto"/>
        <w:rPr>
          <w:rFonts w:cs="Calibri"/>
          <w:b/>
          <w:sz w:val="18"/>
          <w:szCs w:val="18"/>
          <w:lang w:val="sv-SE"/>
        </w:rPr>
      </w:pP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lang w:val="en-ID"/>
        </w:rPr>
      </w:pPr>
      <w:r w:rsidRPr="004A0BAD">
        <w:rPr>
          <w:lang w:val="en-ID"/>
        </w:rPr>
        <w:t xml:space="preserve">Berdasarkan data dari tabel 1 menunjukkan bahwa sebagian besar </w:t>
      </w:r>
      <w:r w:rsidRPr="00D50633">
        <w:rPr>
          <w:lang w:val="en-ID"/>
        </w:rPr>
        <w:t>responden yaitu</w:t>
      </w:r>
      <w:r w:rsidRPr="004A0BAD">
        <w:rPr>
          <w:lang w:val="en-ID"/>
        </w:rPr>
        <w:t xml:space="preserve"> 57</w:t>
      </w:r>
      <w:proofErr w:type="gramStart"/>
      <w:r w:rsidRPr="004A0BAD">
        <w:rPr>
          <w:lang w:val="en-ID"/>
        </w:rPr>
        <w:t>,5</w:t>
      </w:r>
      <w:proofErr w:type="gramEnd"/>
      <w:r w:rsidRPr="004A0BAD">
        <w:rPr>
          <w:lang w:val="en-ID"/>
        </w:rPr>
        <w:t>% berjenis kelamin laki-laki dan sebagian kecil 42,5% berjenis kelamin perempuan. Sebagian besar 48,5% ibu memiliki pendidikan SMP dan hanya sebagian kecil yaitu 19% ibu berpendidikan SD. Selanjutnya sebagian besar responden 67% memiliki jumlah anak 3-5 orang dan hanya 5,5% responden memiliki julah anak 2. Sebagian besar 95</w:t>
      </w:r>
      <w:proofErr w:type="gramStart"/>
      <w:r w:rsidRPr="004A0BAD">
        <w:rPr>
          <w:lang w:val="en-ID"/>
        </w:rPr>
        <w:t>,5</w:t>
      </w:r>
      <w:proofErr w:type="gramEnd"/>
      <w:r w:rsidRPr="004A0BAD">
        <w:rPr>
          <w:lang w:val="en-ID"/>
        </w:rPr>
        <w:t xml:space="preserve">% bekerja sebagai ibu rumah tangga dan sebagian kecil yaitu 4,4% responden yang bekerja. </w:t>
      </w:r>
    </w:p>
    <w:p w:rsidR="00490C45" w:rsidRPr="004A0BAD" w:rsidRDefault="00490C45" w:rsidP="00490C45">
      <w:pPr>
        <w:tabs>
          <w:tab w:val="left" w:pos="993"/>
        </w:tabs>
        <w:spacing w:after="0" w:line="240" w:lineRule="auto"/>
        <w:jc w:val="both"/>
        <w:rPr>
          <w:lang w:val="en-ID"/>
        </w:rPr>
      </w:pPr>
    </w:p>
    <w:p w:rsidR="00490C45" w:rsidRPr="001D7230" w:rsidRDefault="00490C45" w:rsidP="00490C45">
      <w:pPr>
        <w:spacing w:line="240" w:lineRule="auto"/>
        <w:jc w:val="both"/>
        <w:rPr>
          <w:rFonts w:cs="Calibri"/>
          <w:b/>
          <w:bCs/>
          <w:sz w:val="18"/>
          <w:szCs w:val="18"/>
        </w:rPr>
      </w:pPr>
      <w:proofErr w:type="gramStart"/>
      <w:r w:rsidRPr="001D7230">
        <w:rPr>
          <w:rFonts w:cs="Calibri"/>
          <w:b/>
          <w:bCs/>
          <w:sz w:val="18"/>
          <w:szCs w:val="18"/>
        </w:rPr>
        <w:t>Tabel 2.</w:t>
      </w:r>
      <w:proofErr w:type="gramEnd"/>
      <w:r w:rsidRPr="001D7230">
        <w:rPr>
          <w:rFonts w:cs="Calibri"/>
          <w:b/>
          <w:bCs/>
          <w:sz w:val="18"/>
          <w:szCs w:val="18"/>
        </w:rPr>
        <w:t xml:space="preserve"> Distribusi responden berdasarkan tinggi badan </w:t>
      </w:r>
      <w:r>
        <w:rPr>
          <w:rFonts w:cs="Calibri"/>
          <w:b/>
          <w:bCs/>
          <w:sz w:val="18"/>
          <w:szCs w:val="18"/>
        </w:rPr>
        <w:t>dan status gizi balita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8"/>
        <w:gridCol w:w="1598"/>
        <w:gridCol w:w="1598"/>
      </w:tblGrid>
      <w:tr w:rsidR="00490C45" w:rsidRPr="004A0BAD" w:rsidTr="00407F0A"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Variabel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%</w:t>
            </w:r>
          </w:p>
        </w:tc>
      </w:tr>
      <w:tr w:rsidR="00490C45" w:rsidRPr="004A0BAD" w:rsidTr="00407F0A"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 xml:space="preserve">Tinggi Badan 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 xml:space="preserve">Normal (Tdk </w:t>
            </w:r>
            <w:r w:rsidRPr="004A0BAD">
              <w:rPr>
                <w:rFonts w:cs="Calibri"/>
                <w:bCs/>
                <w:sz w:val="18"/>
                <w:szCs w:val="18"/>
              </w:rPr>
              <w:lastRenderedPageBreak/>
              <w:t>stunting)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Pendek (Stunting)</w:t>
            </w:r>
            <w:r w:rsidRPr="004A0BAD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132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66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34</w:t>
            </w:r>
          </w:p>
        </w:tc>
      </w:tr>
      <w:tr w:rsidR="00490C45" w:rsidRPr="004A0BAD" w:rsidTr="00407F0A">
        <w:tc>
          <w:tcPr>
            <w:tcW w:w="1598" w:type="dxa"/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lastRenderedPageBreak/>
              <w:t xml:space="preserve">Jumlah </w:t>
            </w:r>
          </w:p>
        </w:tc>
        <w:tc>
          <w:tcPr>
            <w:tcW w:w="1598" w:type="dxa"/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598" w:type="dxa"/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100</w:t>
            </w:r>
          </w:p>
        </w:tc>
      </w:tr>
      <w:tr w:rsidR="00490C45" w:rsidRPr="004A0BAD" w:rsidTr="00407F0A">
        <w:tc>
          <w:tcPr>
            <w:tcW w:w="1598" w:type="dxa"/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 xml:space="preserve">Status Gizi 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Obesitas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Gizi Lebih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Gizi baik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Gizi Kurang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Gizi buruk</w:t>
            </w:r>
          </w:p>
        </w:tc>
        <w:tc>
          <w:tcPr>
            <w:tcW w:w="1598" w:type="dxa"/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0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1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111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65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23</w:t>
            </w:r>
          </w:p>
        </w:tc>
        <w:tc>
          <w:tcPr>
            <w:tcW w:w="1598" w:type="dxa"/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0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0,5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55,5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32,5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Cs/>
                <w:sz w:val="18"/>
                <w:szCs w:val="18"/>
              </w:rPr>
              <w:t>11,5</w:t>
            </w:r>
          </w:p>
        </w:tc>
      </w:tr>
      <w:tr w:rsidR="00490C45" w:rsidRPr="004A0BAD" w:rsidTr="00407F0A"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Jumlah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4A0BAD">
              <w:rPr>
                <w:rFonts w:cs="Calibri"/>
                <w:b/>
                <w:bCs/>
                <w:sz w:val="18"/>
                <w:szCs w:val="18"/>
              </w:rPr>
              <w:t>100</w:t>
            </w:r>
          </w:p>
        </w:tc>
      </w:tr>
    </w:tbl>
    <w:p w:rsidR="00490C45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lang w:val="en-ID"/>
        </w:rPr>
      </w:pPr>
      <w:r w:rsidRPr="00D50633">
        <w:rPr>
          <w:lang w:val="en-ID"/>
        </w:rPr>
        <w:t xml:space="preserve">Berdasarkan </w:t>
      </w:r>
      <w:r>
        <w:rPr>
          <w:lang w:val="en-ID"/>
        </w:rPr>
        <w:t xml:space="preserve">data dari </w:t>
      </w:r>
      <w:proofErr w:type="gramStart"/>
      <w:r w:rsidRPr="00D50633">
        <w:rPr>
          <w:lang w:val="en-ID"/>
        </w:rPr>
        <w:t>tabel  2</w:t>
      </w:r>
      <w:proofErr w:type="gramEnd"/>
      <w:r w:rsidRPr="00D50633">
        <w:rPr>
          <w:lang w:val="en-ID"/>
        </w:rPr>
        <w:t xml:space="preserve"> menunjukkan bahwa sebagian besar yaitu 66% responden memiliki tinggi badan normal (tidak stunting) dan sebagian kecil responden yaitu 34% memiliki tinggi badan pendek (stunting). Sebagian besar responden yaitu 55</w:t>
      </w:r>
      <w:proofErr w:type="gramStart"/>
      <w:r w:rsidRPr="00D50633">
        <w:rPr>
          <w:lang w:val="en-ID"/>
        </w:rPr>
        <w:t>,5</w:t>
      </w:r>
      <w:proofErr w:type="gramEnd"/>
      <w:r w:rsidRPr="00D50633">
        <w:rPr>
          <w:lang w:val="en-ID"/>
        </w:rPr>
        <w:t>% memiliki  status gizi baik dan sebagian kecil responden yaitu 11,5% memiliki gizi buruk.</w:t>
      </w:r>
    </w:p>
    <w:p w:rsidR="00490C45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lang w:val="en-ID"/>
        </w:rPr>
      </w:pPr>
    </w:p>
    <w:p w:rsidR="00490C45" w:rsidRPr="00D50633" w:rsidRDefault="00490C45" w:rsidP="00490C45">
      <w:pPr>
        <w:spacing w:line="240" w:lineRule="auto"/>
        <w:jc w:val="both"/>
        <w:rPr>
          <w:rFonts w:cs="Calibri"/>
          <w:b/>
          <w:bCs/>
          <w:sz w:val="18"/>
        </w:rPr>
      </w:pPr>
      <w:proofErr w:type="gramStart"/>
      <w:r w:rsidRPr="00D50633">
        <w:rPr>
          <w:rFonts w:cs="Calibri"/>
          <w:b/>
          <w:bCs/>
          <w:sz w:val="18"/>
        </w:rPr>
        <w:t>Tabel 3.</w:t>
      </w:r>
      <w:proofErr w:type="gramEnd"/>
      <w:r w:rsidRPr="00D50633">
        <w:rPr>
          <w:rFonts w:cs="Calibri"/>
          <w:b/>
          <w:bCs/>
          <w:sz w:val="18"/>
        </w:rPr>
        <w:t xml:space="preserve"> Distribusi frekuensi </w:t>
      </w:r>
      <w:r w:rsidR="0045113C">
        <w:rPr>
          <w:rFonts w:cs="Calibri"/>
          <w:b/>
          <w:bCs/>
          <w:sz w:val="18"/>
        </w:rPr>
        <w:t>sanitasi lingkungan penyebab</w:t>
      </w:r>
      <w:r w:rsidRPr="00D50633">
        <w:rPr>
          <w:rFonts w:cs="Calibri"/>
          <w:b/>
          <w:bCs/>
          <w:sz w:val="18"/>
        </w:rPr>
        <w:t xml:space="preserve"> stunting pada balita </w:t>
      </w:r>
      <w:proofErr w:type="gramStart"/>
      <w:r w:rsidRPr="00D50633">
        <w:rPr>
          <w:rFonts w:cs="Calibri"/>
          <w:b/>
          <w:bCs/>
          <w:sz w:val="18"/>
        </w:rPr>
        <w:t>usia</w:t>
      </w:r>
      <w:proofErr w:type="gramEnd"/>
      <w:r w:rsidRPr="00D50633">
        <w:rPr>
          <w:rFonts w:cs="Calibri"/>
          <w:b/>
          <w:bCs/>
          <w:sz w:val="18"/>
        </w:rPr>
        <w:t xml:space="preserve"> 24-59 bulan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632"/>
        <w:gridCol w:w="633"/>
        <w:gridCol w:w="780"/>
        <w:gridCol w:w="780"/>
      </w:tblGrid>
      <w:tr w:rsidR="00490C45" w:rsidRPr="004A0BAD" w:rsidTr="00407F0A">
        <w:tc>
          <w:tcPr>
            <w:tcW w:w="16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</w:rPr>
            </w:pP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4A0BAD">
              <w:rPr>
                <w:rFonts w:cs="Calibri"/>
                <w:b/>
                <w:bCs/>
                <w:sz w:val="18"/>
              </w:rPr>
              <w:t>Factor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 xml:space="preserve">Normal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 xml:space="preserve">Stunting </w:t>
            </w:r>
          </w:p>
        </w:tc>
      </w:tr>
      <w:tr w:rsidR="00490C45" w:rsidRPr="004A0BAD" w:rsidTr="00407F0A">
        <w:tc>
          <w:tcPr>
            <w:tcW w:w="16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 w:rsidRPr="004A0BAD">
              <w:rPr>
                <w:rFonts w:cs="Calibri"/>
                <w:b/>
                <w:bCs/>
                <w:sz w:val="18"/>
              </w:rPr>
              <w:t>Frek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line="240" w:lineRule="auto"/>
              <w:jc w:val="center"/>
              <w:rPr>
                <w:rFonts w:cs="Calibri"/>
                <w:b/>
                <w:bCs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>Frek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</w:rPr>
            </w:pPr>
            <w:r>
              <w:rPr>
                <w:rFonts w:cs="Calibri"/>
                <w:b/>
                <w:bCs/>
                <w:sz w:val="18"/>
              </w:rPr>
              <w:t>%</w:t>
            </w:r>
          </w:p>
        </w:tc>
      </w:tr>
      <w:tr w:rsidR="00490C45" w:rsidRPr="004A0BAD" w:rsidTr="00407F0A">
        <w:trPr>
          <w:trHeight w:val="703"/>
        </w:trPr>
        <w:tc>
          <w:tcPr>
            <w:tcW w:w="16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C45" w:rsidRPr="004A0BAD" w:rsidRDefault="00490C45" w:rsidP="00407F0A">
            <w:pPr>
              <w:spacing w:after="0" w:line="240" w:lineRule="auto"/>
              <w:jc w:val="both"/>
              <w:rPr>
                <w:rFonts w:cs="Calibri"/>
                <w:b/>
                <w:bCs/>
                <w:sz w:val="18"/>
              </w:rPr>
            </w:pPr>
            <w:r w:rsidRPr="004A0BAD">
              <w:rPr>
                <w:rFonts w:cs="Calibri"/>
                <w:b/>
                <w:bCs/>
                <w:sz w:val="18"/>
              </w:rPr>
              <w:t xml:space="preserve">Sanitasi lingkungan 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Cs/>
                <w:sz w:val="18"/>
              </w:rPr>
            </w:pPr>
            <w:r w:rsidRPr="004A0BAD">
              <w:rPr>
                <w:rFonts w:cs="Calibri"/>
                <w:bCs/>
                <w:sz w:val="18"/>
              </w:rPr>
              <w:t>Baik</w:t>
            </w:r>
          </w:p>
          <w:p w:rsidR="00490C45" w:rsidRPr="004A0BAD" w:rsidRDefault="00490C45" w:rsidP="00407F0A">
            <w:pPr>
              <w:spacing w:after="0" w:line="240" w:lineRule="auto"/>
              <w:ind w:left="142"/>
              <w:jc w:val="both"/>
              <w:rPr>
                <w:rFonts w:cs="Calibri"/>
                <w:bCs/>
                <w:sz w:val="18"/>
              </w:rPr>
            </w:pPr>
            <w:r w:rsidRPr="004A0BAD">
              <w:rPr>
                <w:rFonts w:cs="Calibri"/>
                <w:bCs/>
                <w:sz w:val="18"/>
              </w:rPr>
              <w:t>Tidak baik</w:t>
            </w:r>
          </w:p>
        </w:tc>
        <w:tc>
          <w:tcPr>
            <w:tcW w:w="6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</w:p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58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74</w:t>
            </w:r>
          </w:p>
        </w:tc>
        <w:tc>
          <w:tcPr>
            <w:tcW w:w="6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</w:p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29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37</w:t>
            </w: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</w:p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22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46</w:t>
            </w:r>
          </w:p>
        </w:tc>
        <w:tc>
          <w:tcPr>
            <w:tcW w:w="7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</w:p>
          <w:p w:rsidR="00490C45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11</w:t>
            </w:r>
          </w:p>
          <w:p w:rsidR="00490C45" w:rsidRPr="004A0BAD" w:rsidRDefault="00490C45" w:rsidP="00407F0A">
            <w:pPr>
              <w:spacing w:after="0" w:line="240" w:lineRule="auto"/>
              <w:jc w:val="center"/>
              <w:rPr>
                <w:rFonts w:cs="Calibri"/>
                <w:bCs/>
                <w:sz w:val="18"/>
              </w:rPr>
            </w:pPr>
            <w:r>
              <w:rPr>
                <w:rFonts w:cs="Calibri"/>
                <w:bCs/>
                <w:sz w:val="18"/>
              </w:rPr>
              <w:t>23</w:t>
            </w:r>
          </w:p>
        </w:tc>
      </w:tr>
    </w:tbl>
    <w:p w:rsidR="00490C45" w:rsidRDefault="00490C45" w:rsidP="00490C45">
      <w:pPr>
        <w:tabs>
          <w:tab w:val="left" w:pos="993"/>
        </w:tabs>
        <w:spacing w:after="0" w:line="240" w:lineRule="auto"/>
        <w:jc w:val="both"/>
        <w:rPr>
          <w:lang w:val="en-ID"/>
        </w:rPr>
      </w:pPr>
    </w:p>
    <w:p w:rsidR="00490C45" w:rsidRPr="004A0BAD" w:rsidRDefault="00490C45" w:rsidP="00470EB2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cs="Calibri"/>
          <w:bCs/>
        </w:rPr>
      </w:pPr>
      <w:r w:rsidRPr="00D50633">
        <w:rPr>
          <w:lang w:val="en-ID"/>
        </w:rPr>
        <w:t xml:space="preserve">Berdasarkan </w:t>
      </w:r>
      <w:r>
        <w:rPr>
          <w:lang w:val="en-ID"/>
        </w:rPr>
        <w:t xml:space="preserve">data dari </w:t>
      </w:r>
      <w:r w:rsidRPr="00D50633">
        <w:rPr>
          <w:lang w:val="en-ID"/>
        </w:rPr>
        <w:t xml:space="preserve">tabel 3 </w:t>
      </w:r>
      <w:r>
        <w:rPr>
          <w:lang w:val="en-ID"/>
        </w:rPr>
        <w:t xml:space="preserve">didapatkan hasil bahwa </w:t>
      </w:r>
      <w:r w:rsidR="00470EB2">
        <w:rPr>
          <w:lang w:val="en-ID"/>
        </w:rPr>
        <w:t xml:space="preserve">sebagian besar responden memiliki </w:t>
      </w:r>
      <w:r>
        <w:rPr>
          <w:lang w:val="en-ID"/>
        </w:rPr>
        <w:t>sanitasi lingkungan</w:t>
      </w:r>
      <w:r w:rsidR="00470EB2">
        <w:rPr>
          <w:lang w:val="en-ID"/>
        </w:rPr>
        <w:t xml:space="preserve"> yang tidak baik 74 orang ( 37%) dan memiliki balita stunting sebanyak 46 orang ( 23%). </w:t>
      </w:r>
      <w:r>
        <w:rPr>
          <w:lang w:val="en-ID"/>
        </w:rPr>
        <w:t xml:space="preserve"> </w:t>
      </w:r>
    </w:p>
    <w:p w:rsidR="00490C45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</w:pPr>
      <w:r>
        <w:t xml:space="preserve">Hasil penelitian menunjukkan bahwa responden dengan sanitasi lingkungan yang tidak baik memiliki 2 kali lebih banyak balita stunting (23%) dibandingkan dengan responden dengan sanitasi lingkungan yang baik dan memiliki balita stunting (11%). </w:t>
      </w: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szCs w:val="24"/>
        </w:rPr>
      </w:pPr>
      <w:r w:rsidRPr="004A0BAD">
        <w:rPr>
          <w:szCs w:val="24"/>
        </w:rPr>
        <w:t xml:space="preserve">Menurut Turnip (2008) dalam Maya Adiyanti (2014), Kebersihan tubuh, makanan dan lingkungan berperan penting dalam memelihara kesehatan </w:t>
      </w:r>
      <w:proofErr w:type="gramStart"/>
      <w:r w:rsidRPr="004A0BAD">
        <w:rPr>
          <w:szCs w:val="24"/>
        </w:rPr>
        <w:t>akan</w:t>
      </w:r>
      <w:proofErr w:type="gramEnd"/>
      <w:r w:rsidRPr="004A0BAD">
        <w:rPr>
          <w:szCs w:val="24"/>
        </w:rPr>
        <w:t xml:space="preserve"> serta mencegah penyakit-penyakit diare dan infeksi kecacingan. </w:t>
      </w:r>
      <w:proofErr w:type="gramStart"/>
      <w:r w:rsidRPr="004A0BAD">
        <w:rPr>
          <w:szCs w:val="24"/>
        </w:rPr>
        <w:t>Satu kebiasaan yang bersih seperti mencuci tangan dengan sabun sebelum makan dan setelah buang air besar, telah menjadi fokus kampanye WHO untuk mengurangi timbulnya penyakit-penyakit diare.</w:t>
      </w:r>
      <w:proofErr w:type="gramEnd"/>
      <w:r w:rsidRPr="004A0BAD">
        <w:rPr>
          <w:szCs w:val="24"/>
        </w:rPr>
        <w:t xml:space="preserve"> </w:t>
      </w: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cs="Calibri"/>
          <w:bCs/>
        </w:rPr>
      </w:pPr>
      <w:r w:rsidRPr="004A0BAD">
        <w:rPr>
          <w:rFonts w:cs="Calibri"/>
          <w:bCs/>
        </w:rPr>
        <w:t xml:space="preserve">Checkley et al (2004) </w:t>
      </w:r>
      <w:r>
        <w:rPr>
          <w:rFonts w:cs="Calibri"/>
          <w:bCs/>
        </w:rPr>
        <w:t xml:space="preserve">dalam Maya Ardianti (2014) </w:t>
      </w:r>
      <w:r w:rsidRPr="004A0BAD">
        <w:rPr>
          <w:rFonts w:cs="Calibri"/>
          <w:bCs/>
        </w:rPr>
        <w:t xml:space="preserve">menyebutkan bahwa baduta yang memiliki akses sanitasi yang tidak baik memiliki deficit tinggi badan 0,9 cm, dan baduta yang memiliki sumber air yang buruk memiliki tinggi badan 1,0 cm lebih </w:t>
      </w:r>
      <w:r w:rsidRPr="004A0BAD">
        <w:rPr>
          <w:rFonts w:cs="Calibri"/>
          <w:bCs/>
        </w:rPr>
        <w:lastRenderedPageBreak/>
        <w:t xml:space="preserve">pendek dibandingkan dengan baduta yang memiliki </w:t>
      </w:r>
      <w:r>
        <w:rPr>
          <w:rFonts w:cs="Calibri"/>
          <w:bCs/>
        </w:rPr>
        <w:t xml:space="preserve">akses dan </w:t>
      </w:r>
      <w:r w:rsidRPr="004A0BAD">
        <w:rPr>
          <w:rFonts w:cs="Calibri"/>
          <w:bCs/>
        </w:rPr>
        <w:t xml:space="preserve">sumber air yang baik. </w:t>
      </w:r>
    </w:p>
    <w:p w:rsidR="00490C45" w:rsidRDefault="00490C45" w:rsidP="00490C4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proofErr w:type="gramStart"/>
      <w:r w:rsidRPr="004A0BAD">
        <w:rPr>
          <w:rFonts w:cs="Calibri"/>
          <w:bCs/>
        </w:rPr>
        <w:t>Menurut penelitian Maya Adiyanti (2014), masalah lingkungan dan pemberian makanan yang tidak baik dapat menimbulkan berbagai penyakit pada bayi dan anak-anak diantaranya adalah diare.</w:t>
      </w:r>
      <w:proofErr w:type="gramEnd"/>
      <w:r w:rsidRPr="004A0BAD">
        <w:rPr>
          <w:rFonts w:cs="Calibri"/>
          <w:bCs/>
        </w:rPr>
        <w:t xml:space="preserve"> </w:t>
      </w:r>
      <w:proofErr w:type="gramStart"/>
      <w:r w:rsidRPr="008512AD">
        <w:rPr>
          <w:rFonts w:cs="Calibri"/>
          <w:bCs/>
        </w:rPr>
        <w:t>Diare adalah salah satu penyakit infeksi yang dapat mempeng</w:t>
      </w:r>
      <w:r>
        <w:rPr>
          <w:rFonts w:cs="Calibri"/>
          <w:bCs/>
        </w:rPr>
        <w:t>aruhi pertumbuhan secara linier.</w:t>
      </w:r>
      <w:proofErr w:type="gramEnd"/>
      <w:r>
        <w:rPr>
          <w:rFonts w:cs="Calibri"/>
          <w:bCs/>
        </w:rPr>
        <w:t xml:space="preserve"> </w:t>
      </w:r>
      <w:proofErr w:type="gramStart"/>
      <w:r>
        <w:rPr>
          <w:rFonts w:cs="Calibri"/>
          <w:bCs/>
        </w:rPr>
        <w:t>P</w:t>
      </w:r>
      <w:r w:rsidRPr="004A0BAD">
        <w:rPr>
          <w:rFonts w:cs="Calibri"/>
          <w:bCs/>
        </w:rPr>
        <w:t>enyakit infeksi yang parah dan terjadi berulang dalam jangka waktu yang lama dapat menyebabkan stunting.</w:t>
      </w:r>
      <w:proofErr w:type="gramEnd"/>
    </w:p>
    <w:p w:rsidR="00490C45" w:rsidRDefault="00490C45" w:rsidP="00490C4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:rsidR="00490C45" w:rsidRPr="00C84113" w:rsidRDefault="00490C45" w:rsidP="00490C45">
      <w:pPr>
        <w:spacing w:line="240" w:lineRule="auto"/>
        <w:jc w:val="both"/>
        <w:rPr>
          <w:rFonts w:cs="Calibri"/>
          <w:b/>
          <w:bCs/>
          <w:caps/>
          <w:lang w:val="id-ID"/>
        </w:rPr>
      </w:pPr>
      <w:r>
        <w:rPr>
          <w:rFonts w:cs="Calibri"/>
          <w:b/>
          <w:bCs/>
        </w:rPr>
        <w:t>S</w:t>
      </w:r>
      <w:r w:rsidRPr="00C84113">
        <w:rPr>
          <w:rFonts w:cs="Calibri"/>
          <w:b/>
          <w:bCs/>
        </w:rPr>
        <w:t>impulan</w:t>
      </w:r>
    </w:p>
    <w:p w:rsidR="00490C45" w:rsidRDefault="00490C45" w:rsidP="00490C45">
      <w:pPr>
        <w:spacing w:after="0" w:line="240" w:lineRule="auto"/>
        <w:ind w:firstLine="562"/>
        <w:jc w:val="both"/>
        <w:rPr>
          <w:rFonts w:cs="Calibri"/>
        </w:rPr>
      </w:pPr>
      <w:r>
        <w:rPr>
          <w:rFonts w:cs="Calibri"/>
        </w:rPr>
        <w:t>Sebanyak 57,5% balita berjenis kelamin laki-laki, sebagian besar ibu 48,5% berpendidikan SMP, dan sebagian besar 67% memiliki anak 3-5 orang dengan sebagian besar 95,5% bekerja sebagai ibu rumah tangga. Menurut tinggi badan balita sebagian besar memiliki tinggi badan normal (tidak stunting yaitu 66% dan memiliki status gizi baik yaitu 55</w:t>
      </w:r>
      <w:proofErr w:type="gramStart"/>
      <w:r>
        <w:rPr>
          <w:rFonts w:cs="Calibri"/>
        </w:rPr>
        <w:t>,5</w:t>
      </w:r>
      <w:proofErr w:type="gramEnd"/>
      <w:r>
        <w:rPr>
          <w:rFonts w:cs="Calibri"/>
        </w:rPr>
        <w:t xml:space="preserve">%. </w:t>
      </w:r>
    </w:p>
    <w:p w:rsidR="00490C45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cs="Calibri"/>
        </w:rPr>
      </w:pPr>
      <w:r>
        <w:rPr>
          <w:rFonts w:cs="Calibri"/>
        </w:rPr>
        <w:t xml:space="preserve">Berdasarkan factor penyebab stunting, sebagian besar responden memiliki sanitasi lingkungan yang tidak baik (37%). </w:t>
      </w: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  <w:rPr>
          <w:rFonts w:cs="Arial"/>
        </w:rPr>
      </w:pPr>
      <w:proofErr w:type="gramStart"/>
      <w:r w:rsidRPr="004A0BAD">
        <w:rPr>
          <w:rFonts w:cs="Arial"/>
        </w:rPr>
        <w:t>Sanitasi lingkungan sehat secara tidak langsung mempengaruhi kesehatan anak balita yang pada akhirnya dapat mempengaruhi kondisi status gizi anak balita.</w:t>
      </w:r>
      <w:proofErr w:type="gramEnd"/>
      <w:r w:rsidRPr="004A0BAD">
        <w:rPr>
          <w:rFonts w:cs="Arial"/>
        </w:rPr>
        <w:t xml:space="preserve"> Balita yang tumbuh di lingkungan tidak sehat berpeluang satu kali lebih besar </w:t>
      </w:r>
      <w:proofErr w:type="gramStart"/>
      <w:r w:rsidRPr="004A0BAD">
        <w:rPr>
          <w:rFonts w:cs="Arial"/>
        </w:rPr>
        <w:t>akan</w:t>
      </w:r>
      <w:proofErr w:type="gramEnd"/>
      <w:r w:rsidRPr="004A0BAD">
        <w:rPr>
          <w:rFonts w:cs="Arial"/>
        </w:rPr>
        <w:t xml:space="preserve"> mengalami status gizi-buruk dibandingkan dengan balita yang normal atau berstatus gizi baik.</w:t>
      </w:r>
    </w:p>
    <w:p w:rsidR="00490C45" w:rsidRDefault="00490C45" w:rsidP="00490C45">
      <w:pPr>
        <w:spacing w:after="0" w:line="240" w:lineRule="auto"/>
        <w:ind w:firstLine="562"/>
        <w:jc w:val="both"/>
        <w:rPr>
          <w:rFonts w:cs="Calibri"/>
        </w:rPr>
      </w:pPr>
      <w:proofErr w:type="gramStart"/>
      <w:r>
        <w:rPr>
          <w:rFonts w:cs="Calibri"/>
        </w:rPr>
        <w:t>Sanitasi lingkungan yang buruk berkontribusi menyebabkan berbagai penyakit dan kematian balita.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Rumah tangga dengan sanitasi lingkungan yang buruk dapat menyebabkan berbagai penyakit yang berpengaruh terhadap status gizi balita tersebut.</w:t>
      </w:r>
      <w:proofErr w:type="gramEnd"/>
    </w:p>
    <w:p w:rsidR="00490C45" w:rsidRPr="00C84113" w:rsidRDefault="00490C45" w:rsidP="00490C45">
      <w:pPr>
        <w:spacing w:after="0" w:line="240" w:lineRule="auto"/>
        <w:ind w:firstLine="562"/>
        <w:jc w:val="both"/>
        <w:rPr>
          <w:rFonts w:cs="Calibri"/>
        </w:rPr>
      </w:pPr>
      <w:r>
        <w:rPr>
          <w:rFonts w:cs="Calibri"/>
        </w:rPr>
        <w:t xml:space="preserve">  </w:t>
      </w:r>
    </w:p>
    <w:p w:rsidR="00490C45" w:rsidRPr="00C84113" w:rsidRDefault="00490C45" w:rsidP="00490C45">
      <w:pPr>
        <w:jc w:val="both"/>
        <w:rPr>
          <w:rFonts w:cs="Calibri"/>
          <w:b/>
          <w:bCs/>
          <w:caps/>
          <w:lang w:val="id-ID"/>
        </w:rPr>
      </w:pPr>
      <w:r w:rsidRPr="00C84113">
        <w:rPr>
          <w:rFonts w:cs="Calibri"/>
          <w:b/>
          <w:bCs/>
        </w:rPr>
        <w:t>Ucapan terima kasih</w:t>
      </w:r>
    </w:p>
    <w:p w:rsidR="00490C45" w:rsidRPr="004A0BAD" w:rsidRDefault="00490C45" w:rsidP="00490C45">
      <w:pPr>
        <w:autoSpaceDE w:val="0"/>
        <w:autoSpaceDN w:val="0"/>
        <w:adjustRightInd w:val="0"/>
        <w:spacing w:after="0" w:line="240" w:lineRule="auto"/>
        <w:ind w:firstLine="562"/>
        <w:jc w:val="both"/>
      </w:pPr>
      <w:r w:rsidRPr="004A0BAD">
        <w:t xml:space="preserve">Pada kesempatan ini perkenankan penulis </w:t>
      </w:r>
      <w:r w:rsidRPr="00D33991">
        <w:rPr>
          <w:rFonts w:cs="Arial"/>
        </w:rPr>
        <w:t>mengucapkan</w:t>
      </w:r>
      <w:r w:rsidRPr="004A0BAD">
        <w:t xml:space="preserve"> terima kasih sebesar besarnya </w:t>
      </w:r>
      <w:proofErr w:type="gramStart"/>
      <w:r w:rsidRPr="004A0BAD">
        <w:t>kepada :</w:t>
      </w:r>
      <w:proofErr w:type="gramEnd"/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>Kemenristek DIKTI yang telah memberikan support berupa pendanaan melalui hibah dosen pemula sehingga penelitian ini dapat terlaksana dengan baik;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 xml:space="preserve">Bapak Syahiran selaku Bupati Kabupaten Pasaman Barat; 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>Kepada Dinas Kesehatan Kabupaten Pasaman Barat;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lastRenderedPageBreak/>
        <w:t>Dr. Riki Saputra, MA selaku Rektor Universitas Muhammadiyah Sumatera Barat;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>Dr. Muhammad Reza, MSi, selaku ketua LPPM Universitas Muhammadiyah Sumatera Barat;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>Ns. Endang Sari, S.Kep kepala Puskesmas Air Bangis, sebagai tempat penelitian;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 xml:space="preserve">Bidan Eni Yendra, Amd.Keb dan Bidan Dina selaku bidan desa beserta seluruh kader posyandu yang telah membantu dalam  penelitian; 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>Ibu Pagdya Haninda Nusantri Rusdi, S.ST.M.Biom</w:t>
      </w:r>
      <w:r>
        <w:rPr>
          <w:sz w:val="22"/>
          <w:szCs w:val="22"/>
        </w:rPr>
        <w:t>ed selaku anggota tim peneliti</w:t>
      </w:r>
      <w:r w:rsidRPr="004A0BAD">
        <w:rPr>
          <w:sz w:val="22"/>
          <w:szCs w:val="22"/>
        </w:rPr>
        <w:t>, dan</w:t>
      </w:r>
    </w:p>
    <w:p w:rsidR="00490C45" w:rsidRPr="004A0BAD" w:rsidRDefault="00490C45" w:rsidP="00490C45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4A0BAD">
        <w:rPr>
          <w:sz w:val="22"/>
          <w:szCs w:val="22"/>
        </w:rPr>
        <w:t xml:space="preserve">Dian Norita Sari, AMd.Keb dan Oni Safitri </w:t>
      </w:r>
      <w:proofErr w:type="gramStart"/>
      <w:r w:rsidRPr="004A0BAD">
        <w:rPr>
          <w:sz w:val="22"/>
          <w:szCs w:val="22"/>
        </w:rPr>
        <w:t>selaku  alumni</w:t>
      </w:r>
      <w:proofErr w:type="gramEnd"/>
      <w:r w:rsidRPr="004A0BAD">
        <w:rPr>
          <w:sz w:val="22"/>
          <w:szCs w:val="22"/>
        </w:rPr>
        <w:t xml:space="preserve"> dan mahasiswa D-III Kebidanan UMSB yang telah membantu dalam penelitian ini. </w:t>
      </w:r>
    </w:p>
    <w:p w:rsidR="00490C45" w:rsidRPr="004A0BAD" w:rsidRDefault="00490C45" w:rsidP="00490C45">
      <w:pPr>
        <w:spacing w:after="0" w:line="240" w:lineRule="auto"/>
        <w:ind w:firstLine="561"/>
        <w:jc w:val="both"/>
        <w:rPr>
          <w:rFonts w:cs="Calibri"/>
        </w:rPr>
      </w:pPr>
    </w:p>
    <w:p w:rsidR="00490C45" w:rsidRPr="004A0BAD" w:rsidRDefault="00490C45" w:rsidP="00490C45">
      <w:pPr>
        <w:spacing w:after="0" w:line="240" w:lineRule="auto"/>
        <w:jc w:val="both"/>
        <w:rPr>
          <w:rFonts w:cs="Calibri"/>
          <w:b/>
          <w:bCs/>
        </w:rPr>
      </w:pPr>
      <w:r w:rsidRPr="004A0BAD">
        <w:rPr>
          <w:rFonts w:cs="Calibri"/>
          <w:b/>
          <w:bCs/>
        </w:rPr>
        <w:t>Daftar Pustaka</w:t>
      </w:r>
    </w:p>
    <w:p w:rsidR="00490C45" w:rsidRPr="004A0BAD" w:rsidRDefault="00490C45" w:rsidP="00490C45">
      <w:pPr>
        <w:spacing w:after="0" w:line="240" w:lineRule="auto"/>
        <w:jc w:val="both"/>
        <w:rPr>
          <w:rFonts w:cs="Calibri"/>
          <w:b/>
          <w:bCs/>
        </w:rPr>
      </w:pP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</w:pPr>
      <w:proofErr w:type="gramStart"/>
      <w:r w:rsidRPr="004A0BAD">
        <w:t xml:space="preserve">Atikah, Laily K. </w:t>
      </w:r>
      <w:r w:rsidRPr="004A0BAD">
        <w:rPr>
          <w:i/>
          <w:iCs/>
        </w:rPr>
        <w:t>Risiko Pendidikan Ibu terhadap Kejadian Stunting Pada Anak 6-23 Bulan.</w:t>
      </w:r>
      <w:proofErr w:type="gramEnd"/>
      <w:r w:rsidRPr="004A0BAD">
        <w:rPr>
          <w:i/>
          <w:iCs/>
        </w:rPr>
        <w:t xml:space="preserve"> </w:t>
      </w:r>
      <w:proofErr w:type="gramStart"/>
      <w:r w:rsidRPr="004A0BAD">
        <w:t>JurnalPenel Gizi Makan Vol. 37.</w:t>
      </w:r>
      <w:proofErr w:type="gramEnd"/>
      <w:r w:rsidRPr="004A0BAD">
        <w:t xml:space="preserve"> Desember 2014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r w:rsidRPr="004A0BAD">
        <w:rPr>
          <w:iCs/>
        </w:rPr>
        <w:t>Profil Dinas Kesehatan Kabupaten Pasaman Barat. 2016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RISKESDAS.</w:t>
      </w:r>
      <w:proofErr w:type="gramEnd"/>
      <w:r w:rsidRPr="004A0BAD">
        <w:rPr>
          <w:iCs/>
        </w:rPr>
        <w:t xml:space="preserve"> Laporan Hasil Riset Kesehatan Bappenas dan </w:t>
      </w:r>
      <w:proofErr w:type="gramStart"/>
      <w:r w:rsidRPr="004A0BAD">
        <w:rPr>
          <w:iCs/>
        </w:rPr>
        <w:t>Unicef</w:t>
      </w:r>
      <w:proofErr w:type="gramEnd"/>
      <w:r w:rsidRPr="004A0BAD">
        <w:rPr>
          <w:iCs/>
        </w:rPr>
        <w:t xml:space="preserve">. </w:t>
      </w:r>
      <w:proofErr w:type="gramStart"/>
      <w:r w:rsidRPr="004A0BAD">
        <w:rPr>
          <w:iCs/>
        </w:rPr>
        <w:t>Buletin I Periode Emas Pada 1000 Hari Pertama Kehidupan.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Bappenas.</w:t>
      </w:r>
      <w:proofErr w:type="gramEnd"/>
      <w:r w:rsidRPr="004A0BAD">
        <w:rPr>
          <w:iCs/>
        </w:rPr>
        <w:t xml:space="preserve"> Jakarta. 2013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r w:rsidRPr="004A0BAD">
        <w:rPr>
          <w:iCs/>
        </w:rPr>
        <w:t xml:space="preserve">Dewi M, Mimin A. Pengaruh Edukasi Gizi terhadap Feeding Practice Ibu Balita Stunting Usia 6-24 Bulan. </w:t>
      </w:r>
      <w:proofErr w:type="gramStart"/>
      <w:r w:rsidRPr="004A0BAD">
        <w:rPr>
          <w:iCs/>
        </w:rPr>
        <w:t>Indonesia Journal of Human Nutrition.</w:t>
      </w:r>
      <w:proofErr w:type="gramEnd"/>
      <w:r w:rsidRPr="004A0BAD">
        <w:rPr>
          <w:iCs/>
        </w:rPr>
        <w:t xml:space="preserve"> Supl 18, Vol 3. No 1. Juni 2016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KEMENKES RI.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Pusat Data dan Informasi Kementerian Kesehatan Republik Indonesia.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Jakarta :</w:t>
      </w:r>
      <w:proofErr w:type="gramEnd"/>
      <w:r w:rsidRPr="004A0BAD">
        <w:rPr>
          <w:iCs/>
        </w:rPr>
        <w:t xml:space="preserve"> Kemenkes RI.2016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KEMENKO PMK RI.</w:t>
      </w:r>
      <w:proofErr w:type="gramEnd"/>
      <w:r w:rsidRPr="004A0BAD">
        <w:rPr>
          <w:iCs/>
        </w:rPr>
        <w:t xml:space="preserve"> 160 Kabupaten/Kota dengan Prioritas Masing-Masing 10 Desa Untuk Penanganan </w:t>
      </w:r>
      <w:proofErr w:type="gramStart"/>
      <w:r w:rsidRPr="004A0BAD">
        <w:rPr>
          <w:iCs/>
        </w:rPr>
        <w:t>Stunting.Jakarta :</w:t>
      </w:r>
      <w:proofErr w:type="gramEnd"/>
      <w:r w:rsidRPr="004A0BAD">
        <w:rPr>
          <w:iCs/>
        </w:rPr>
        <w:t xml:space="preserve"> 2018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Maya Adiyanti.</w:t>
      </w:r>
      <w:proofErr w:type="gramEnd"/>
      <w:r w:rsidRPr="004A0BAD">
        <w:rPr>
          <w:iCs/>
        </w:rPr>
        <w:t xml:space="preserve"> Pola Asuh Gizi, Sanitasi Lingkungan, Pemanfaatan Posyandu dengan Kejadian Stunting Pada Baduta di Indonesia (Analisis Data Riskesdas Tahun 2010). Fakultas KEsehhatan Masyarakat. </w:t>
      </w:r>
      <w:proofErr w:type="gramStart"/>
      <w:r w:rsidRPr="004A0BAD">
        <w:rPr>
          <w:iCs/>
        </w:rPr>
        <w:t>Universitas Indonesia.</w:t>
      </w:r>
      <w:proofErr w:type="gramEnd"/>
      <w:r w:rsidRPr="004A0BAD">
        <w:rPr>
          <w:iCs/>
        </w:rPr>
        <w:t xml:space="preserve"> 2014</w:t>
      </w:r>
    </w:p>
    <w:p w:rsidR="00490C45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Nadiah, dkk.</w:t>
      </w:r>
      <w:proofErr w:type="gramEnd"/>
      <w:r w:rsidRPr="004A0BAD">
        <w:rPr>
          <w:iCs/>
        </w:rPr>
        <w:t xml:space="preserve"> Faktor Risiko Stunting pada Anak </w:t>
      </w:r>
      <w:proofErr w:type="gramStart"/>
      <w:r w:rsidRPr="004A0BAD">
        <w:rPr>
          <w:iCs/>
        </w:rPr>
        <w:t>Usia</w:t>
      </w:r>
      <w:proofErr w:type="gramEnd"/>
      <w:r w:rsidRPr="004A0BAD">
        <w:rPr>
          <w:iCs/>
        </w:rPr>
        <w:t xml:space="preserve"> 0-23 Bulan di Provinsi Bali, Jawa Barat dan Nusa Tenggara Timur. </w:t>
      </w:r>
      <w:proofErr w:type="gramStart"/>
      <w:r w:rsidRPr="004A0BAD">
        <w:rPr>
          <w:iCs/>
        </w:rPr>
        <w:t>Jurnal GIzi dan Pangan.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Vol ,</w:t>
      </w:r>
      <w:proofErr w:type="gramEnd"/>
      <w:r w:rsidRPr="004A0BAD">
        <w:rPr>
          <w:iCs/>
        </w:rPr>
        <w:t xml:space="preserve"> No 2. Juli 2014</w:t>
      </w:r>
    </w:p>
    <w:p w:rsidR="00490C45" w:rsidRPr="00E61D33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r w:rsidRPr="00E61D33">
        <w:t xml:space="preserve">Notoatmodjo, Soekidjo. </w:t>
      </w:r>
      <w:r w:rsidRPr="00E61D33">
        <w:rPr>
          <w:rFonts w:cs="Times New Roman,Italic"/>
          <w:i/>
          <w:iCs/>
        </w:rPr>
        <w:t xml:space="preserve">Metodologi Penelitian Kesehatan. </w:t>
      </w:r>
      <w:r w:rsidRPr="00E61D33">
        <w:t>Jakarta: PT Rineka Cipta, 2012.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lastRenderedPageBreak/>
        <w:t>Okky FA, dkk.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Faktor-faktor yang Mempengaruhi Kejadian Stunting pada Anak Balita di Wilayah Pedesaan dan Perkotaan.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E-Jurnal Pusataka Kesehatan, Vol 3 (No.1).</w:t>
      </w:r>
      <w:proofErr w:type="gramEnd"/>
      <w:r w:rsidRPr="004A0BAD">
        <w:rPr>
          <w:iCs/>
        </w:rPr>
        <w:t xml:space="preserve"> </w:t>
      </w:r>
      <w:proofErr w:type="gramStart"/>
      <w:r w:rsidRPr="004A0BAD">
        <w:rPr>
          <w:iCs/>
        </w:rPr>
        <w:t>Januari 2015.</w:t>
      </w:r>
      <w:proofErr w:type="gramEnd"/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Profil Dinas Dasar Indonesia Tahun 2013.</w:t>
      </w:r>
      <w:proofErr w:type="gramEnd"/>
      <w:r w:rsidRPr="004A0BAD">
        <w:rPr>
          <w:iCs/>
        </w:rPr>
        <w:t xml:space="preserve"> Jakarta: Departemen Kesehatan RI. 2014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Cs/>
        </w:rPr>
      </w:pPr>
      <w:proofErr w:type="gramStart"/>
      <w:r w:rsidRPr="004A0BAD">
        <w:rPr>
          <w:iCs/>
        </w:rPr>
        <w:t>Unicef</w:t>
      </w:r>
      <w:proofErr w:type="gramEnd"/>
      <w:r w:rsidRPr="004A0BAD">
        <w:rPr>
          <w:iCs/>
        </w:rPr>
        <w:t xml:space="preserve"> Indonesia. </w:t>
      </w:r>
      <w:proofErr w:type="gramStart"/>
      <w:r w:rsidRPr="004A0BAD">
        <w:rPr>
          <w:iCs/>
        </w:rPr>
        <w:t>Ringkasan Kajian Air Bersih, Sanitasi, dan Kebersihan.</w:t>
      </w:r>
      <w:proofErr w:type="gramEnd"/>
      <w:r w:rsidRPr="004A0BAD">
        <w:rPr>
          <w:iCs/>
        </w:rPr>
        <w:t xml:space="preserve"> 2016 (</w:t>
      </w:r>
      <w:hyperlink r:id="rId10" w:history="1">
        <w:r w:rsidRPr="004A0BAD">
          <w:rPr>
            <w:iCs/>
          </w:rPr>
          <w:t>www.unicef.go.id</w:t>
        </w:r>
      </w:hyperlink>
      <w:r w:rsidRPr="004A0BAD">
        <w:rPr>
          <w:iCs/>
        </w:rPr>
        <w:t>)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i/>
          <w:iCs/>
        </w:rPr>
      </w:pPr>
      <w:proofErr w:type="gramStart"/>
      <w:r w:rsidRPr="004A0BAD">
        <w:rPr>
          <w:i/>
          <w:iCs/>
        </w:rPr>
        <w:t>WHO.</w:t>
      </w:r>
      <w:proofErr w:type="gramEnd"/>
      <w:r w:rsidRPr="004A0BAD">
        <w:rPr>
          <w:i/>
          <w:iCs/>
        </w:rPr>
        <w:t xml:space="preserve"> Childhood Stunting: Challenges and opportunities. </w:t>
      </w:r>
      <w:proofErr w:type="gramStart"/>
      <w:r w:rsidRPr="004A0BAD">
        <w:rPr>
          <w:i/>
          <w:iCs/>
        </w:rPr>
        <w:t>Report of a Promoting Healthy Growth and Preventing Childhood Colloquium.</w:t>
      </w:r>
      <w:proofErr w:type="gramEnd"/>
      <w:r w:rsidRPr="004A0BAD">
        <w:rPr>
          <w:i/>
          <w:iCs/>
        </w:rPr>
        <w:t xml:space="preserve"> Geneva</w:t>
      </w:r>
      <w:proofErr w:type="gramStart"/>
      <w:r w:rsidRPr="004A0BAD">
        <w:rPr>
          <w:i/>
          <w:iCs/>
        </w:rPr>
        <w:t>:World</w:t>
      </w:r>
      <w:proofErr w:type="gramEnd"/>
      <w:r w:rsidRPr="004A0BAD">
        <w:rPr>
          <w:i/>
          <w:iCs/>
        </w:rPr>
        <w:t xml:space="preserve"> Health Organization; 2017</w:t>
      </w:r>
    </w:p>
    <w:p w:rsidR="00490C45" w:rsidRPr="004A0BAD" w:rsidRDefault="00490C45" w:rsidP="00490C45">
      <w:pPr>
        <w:tabs>
          <w:tab w:val="left" w:pos="6262"/>
        </w:tabs>
        <w:spacing w:after="0" w:line="240" w:lineRule="auto"/>
        <w:ind w:left="567" w:hanging="567"/>
        <w:jc w:val="both"/>
        <w:rPr>
          <w:rFonts w:cs="Calibri"/>
          <w:b/>
          <w:bCs/>
          <w:caps/>
        </w:rPr>
      </w:pPr>
      <w:proofErr w:type="gramStart"/>
      <w:r w:rsidRPr="004A0BAD">
        <w:rPr>
          <w:i/>
          <w:iCs/>
        </w:rPr>
        <w:t>World Health Organization.</w:t>
      </w:r>
      <w:proofErr w:type="gramEnd"/>
      <w:r w:rsidRPr="004A0BAD">
        <w:rPr>
          <w:i/>
          <w:iCs/>
        </w:rPr>
        <w:t xml:space="preserve"> </w:t>
      </w:r>
      <w:proofErr w:type="gramStart"/>
      <w:r w:rsidRPr="004A0BAD">
        <w:rPr>
          <w:i/>
          <w:iCs/>
        </w:rPr>
        <w:t>Training Course on Child Growth Assessment.</w:t>
      </w:r>
      <w:proofErr w:type="gramEnd"/>
      <w:r w:rsidRPr="004A0BAD">
        <w:rPr>
          <w:i/>
          <w:iCs/>
        </w:rPr>
        <w:t xml:space="preserve"> 2008</w:t>
      </w:r>
    </w:p>
    <w:p w:rsidR="00490C45" w:rsidRPr="00C84113" w:rsidRDefault="00490C45" w:rsidP="00490C45">
      <w:pPr>
        <w:tabs>
          <w:tab w:val="left" w:pos="480"/>
        </w:tabs>
        <w:spacing w:before="80" w:after="0" w:line="240" w:lineRule="auto"/>
        <w:ind w:left="482"/>
        <w:jc w:val="both"/>
        <w:rPr>
          <w:rFonts w:cs="Calibri"/>
        </w:rPr>
        <w:sectPr w:rsidR="00490C45" w:rsidRPr="00C84113" w:rsidSect="00A13775">
          <w:footnotePr>
            <w:pos w:val="beneathText"/>
          </w:footnotePr>
          <w:type w:val="continuous"/>
          <w:pgSz w:w="11907" w:h="16840" w:code="9"/>
          <w:pgMar w:top="1412" w:right="992" w:bottom="1140" w:left="1412" w:header="720" w:footer="720" w:gutter="0"/>
          <w:pgNumType w:start="9" w:chapStyle="1"/>
          <w:cols w:num="2" w:space="346"/>
          <w:titlePg/>
          <w:docGrid w:linePitch="360"/>
        </w:sectPr>
      </w:pPr>
    </w:p>
    <w:bookmarkEnd w:id="0"/>
    <w:p w:rsidR="00490C45" w:rsidRPr="00C84113" w:rsidRDefault="00490C45" w:rsidP="00490C45">
      <w:pPr>
        <w:spacing w:after="0" w:line="240" w:lineRule="auto"/>
        <w:jc w:val="center"/>
        <w:rPr>
          <w:rFonts w:cs="Calibri"/>
          <w:b/>
        </w:rPr>
      </w:pPr>
    </w:p>
    <w:p w:rsidR="00955517" w:rsidRDefault="00955517"/>
    <w:sectPr w:rsidR="00955517" w:rsidSect="00CC65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C8" w:rsidRDefault="002434C8" w:rsidP="00490C45">
      <w:pPr>
        <w:spacing w:after="0" w:line="240" w:lineRule="auto"/>
      </w:pPr>
      <w:r>
        <w:separator/>
      </w:r>
    </w:p>
  </w:endnote>
  <w:endnote w:type="continuationSeparator" w:id="0">
    <w:p w:rsidR="002434C8" w:rsidRDefault="002434C8" w:rsidP="0049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45" w:rsidRDefault="00490C45" w:rsidP="000016D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AD" w:rsidRDefault="00DC2D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8C0">
      <w:rPr>
        <w:noProof/>
      </w:rPr>
      <w:t>13</w:t>
    </w:r>
    <w:r>
      <w:fldChar w:fldCharType="end"/>
    </w:r>
  </w:p>
  <w:p w:rsidR="008512AD" w:rsidRDefault="00243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C8" w:rsidRDefault="002434C8" w:rsidP="00490C45">
      <w:pPr>
        <w:spacing w:after="0" w:line="240" w:lineRule="auto"/>
      </w:pPr>
      <w:r>
        <w:separator/>
      </w:r>
    </w:p>
  </w:footnote>
  <w:footnote w:type="continuationSeparator" w:id="0">
    <w:p w:rsidR="002434C8" w:rsidRDefault="002434C8" w:rsidP="00490C45">
      <w:pPr>
        <w:spacing w:after="0" w:line="240" w:lineRule="auto"/>
      </w:pPr>
      <w:r>
        <w:continuationSeparator/>
      </w:r>
    </w:p>
  </w:footnote>
  <w:footnote w:id="1">
    <w:p w:rsidR="00490C45" w:rsidRPr="002F3CD9" w:rsidRDefault="00490C45" w:rsidP="00490C45">
      <w:pPr>
        <w:spacing w:after="0"/>
        <w:jc w:val="both"/>
        <w:rPr>
          <w:sz w:val="16"/>
          <w:szCs w:val="16"/>
        </w:rPr>
      </w:pPr>
      <w:r w:rsidRPr="002255E0">
        <w:rPr>
          <w:rStyle w:val="FootnoteReference"/>
        </w:rPr>
        <w:sym w:font="Symbol" w:char="F02A"/>
      </w:r>
      <w:r>
        <w:t xml:space="preserve"> </w:t>
      </w:r>
      <w:proofErr w:type="gramStart"/>
      <w:r>
        <w:rPr>
          <w:sz w:val="16"/>
          <w:szCs w:val="16"/>
        </w:rPr>
        <w:t>Korespondensi penulis</w:t>
      </w:r>
      <w:r w:rsidRPr="002F3CD9">
        <w:rPr>
          <w:sz w:val="16"/>
          <w:szCs w:val="16"/>
        </w:rPr>
        <w:t>.</w:t>
      </w:r>
      <w:proofErr w:type="gramEnd"/>
    </w:p>
    <w:p w:rsidR="00490C45" w:rsidRPr="00043B6C" w:rsidRDefault="00490C45" w:rsidP="00490C45">
      <w:pPr>
        <w:spacing w:after="0"/>
        <w:rPr>
          <w:sz w:val="16"/>
          <w:szCs w:val="16"/>
        </w:rPr>
      </w:pPr>
      <w:r w:rsidRPr="00C85937">
        <w:rPr>
          <w:sz w:val="16"/>
          <w:szCs w:val="16"/>
        </w:rPr>
        <w:t xml:space="preserve">   </w:t>
      </w:r>
      <w:r>
        <w:rPr>
          <w:sz w:val="16"/>
          <w:szCs w:val="16"/>
        </w:rPr>
        <w:t>A</w:t>
      </w:r>
      <w:r>
        <w:rPr>
          <w:color w:val="000000"/>
          <w:sz w:val="16"/>
          <w:szCs w:val="16"/>
        </w:rPr>
        <w:t>lamat E-mail</w:t>
      </w:r>
      <w:r w:rsidRPr="00C85937">
        <w:rPr>
          <w:color w:val="000000"/>
          <w:sz w:val="16"/>
          <w:szCs w:val="16"/>
        </w:rPr>
        <w:t>:</w:t>
      </w:r>
      <w:r>
        <w:rPr>
          <w:color w:val="000000"/>
          <w:sz w:val="16"/>
          <w:szCs w:val="16"/>
          <w:lang w:val="sv-SE"/>
        </w:rPr>
        <w:t xml:space="preserve"> </w:t>
      </w:r>
      <w:r>
        <w:rPr>
          <w:bCs/>
          <w:iCs/>
          <w:color w:val="2B03BD"/>
          <w:sz w:val="16"/>
          <w:szCs w:val="16"/>
        </w:rPr>
        <w:t>yulizaanggraini@gmail.com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45" w:rsidRPr="007E1164" w:rsidRDefault="00490C45" w:rsidP="000016D4">
    <w:pPr>
      <w:pStyle w:val="Header"/>
      <w:jc w:val="center"/>
      <w:rPr>
        <w:sz w:val="18"/>
        <w:szCs w:val="18"/>
        <w:lang w:val="es-ES_tradnl"/>
      </w:rPr>
    </w:pPr>
    <w:r>
      <w:rPr>
        <w:i/>
        <w:sz w:val="18"/>
        <w:szCs w:val="18"/>
        <w:lang w:val="es-ES_tradnl"/>
      </w:rPr>
      <w:t>Atom Indonesia</w:t>
    </w:r>
  </w:p>
  <w:p w:rsidR="00490C45" w:rsidRDefault="00490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4456"/>
    <w:multiLevelType w:val="hybridMultilevel"/>
    <w:tmpl w:val="48F2F0DC"/>
    <w:lvl w:ilvl="0" w:tplc="B42229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45"/>
    <w:rsid w:val="000033F6"/>
    <w:rsid w:val="00020AE9"/>
    <w:rsid w:val="002434C8"/>
    <w:rsid w:val="002759E6"/>
    <w:rsid w:val="003237CF"/>
    <w:rsid w:val="00402A43"/>
    <w:rsid w:val="0045113C"/>
    <w:rsid w:val="00470EB2"/>
    <w:rsid w:val="00490C45"/>
    <w:rsid w:val="0076620B"/>
    <w:rsid w:val="00880A38"/>
    <w:rsid w:val="009328C0"/>
    <w:rsid w:val="00955517"/>
    <w:rsid w:val="00B64057"/>
    <w:rsid w:val="00CA6A2B"/>
    <w:rsid w:val="00DC2DDD"/>
    <w:rsid w:val="00D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C45"/>
    <w:pPr>
      <w:spacing w:after="0" w:line="240" w:lineRule="auto"/>
      <w:ind w:left="720"/>
      <w:contextualSpacing/>
    </w:pPr>
    <w:rPr>
      <w:rFonts w:eastAsia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45"/>
    <w:rPr>
      <w:rFonts w:ascii="Calibri" w:eastAsia="Calibri" w:hAnsi="Calibri" w:cs="Times New Roman"/>
    </w:rPr>
  </w:style>
  <w:style w:type="character" w:styleId="FootnoteReference">
    <w:name w:val="footnote reference"/>
    <w:rsid w:val="00490C45"/>
    <w:rPr>
      <w:vertAlign w:val="superscript"/>
    </w:rPr>
  </w:style>
  <w:style w:type="paragraph" w:styleId="Subtitle">
    <w:name w:val="Subtitle"/>
    <w:basedOn w:val="Normal"/>
    <w:link w:val="SubtitleChar"/>
    <w:qFormat/>
    <w:rsid w:val="00490C45"/>
    <w:pPr>
      <w:suppressAutoHyphens/>
      <w:spacing w:after="60" w:line="240" w:lineRule="auto"/>
      <w:jc w:val="center"/>
      <w:outlineLvl w:val="1"/>
    </w:pPr>
    <w:rPr>
      <w:rFonts w:ascii="Arial" w:eastAsia="MS Mincho" w:hAnsi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490C45"/>
    <w:rPr>
      <w:rFonts w:ascii="Arial" w:eastAsia="MS Mincho" w:hAnsi="Arial" w:cs="Times New Roman"/>
      <w:sz w:val="24"/>
      <w:szCs w:val="24"/>
      <w:lang w:eastAsia="ar-SA"/>
    </w:rPr>
  </w:style>
  <w:style w:type="paragraph" w:customStyle="1" w:styleId="Title-article">
    <w:name w:val="Title-article"/>
    <w:basedOn w:val="Normal"/>
    <w:next w:val="Normal"/>
    <w:rsid w:val="00490C45"/>
    <w:pPr>
      <w:suppressAutoHyphens/>
      <w:spacing w:after="48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ar-SA"/>
    </w:rPr>
  </w:style>
  <w:style w:type="paragraph" w:customStyle="1" w:styleId="author">
    <w:name w:val="author"/>
    <w:basedOn w:val="Normal"/>
    <w:rsid w:val="00490C45"/>
    <w:pPr>
      <w:suppressAutoHyphens/>
      <w:spacing w:after="0" w:line="240" w:lineRule="auto"/>
      <w:jc w:val="center"/>
    </w:pPr>
    <w:rPr>
      <w:rFonts w:ascii="Times New Roman" w:eastAsia="MS Mincho" w:hAnsi="Times New Roman"/>
      <w:b/>
      <w:bCs/>
      <w:i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C4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C45"/>
    <w:pPr>
      <w:spacing w:after="0" w:line="240" w:lineRule="auto"/>
      <w:ind w:left="720"/>
      <w:contextualSpacing/>
    </w:pPr>
    <w:rPr>
      <w:rFonts w:eastAsia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4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45"/>
    <w:rPr>
      <w:rFonts w:ascii="Calibri" w:eastAsia="Calibri" w:hAnsi="Calibri" w:cs="Times New Roman"/>
    </w:rPr>
  </w:style>
  <w:style w:type="character" w:styleId="FootnoteReference">
    <w:name w:val="footnote reference"/>
    <w:rsid w:val="00490C45"/>
    <w:rPr>
      <w:vertAlign w:val="superscript"/>
    </w:rPr>
  </w:style>
  <w:style w:type="paragraph" w:styleId="Subtitle">
    <w:name w:val="Subtitle"/>
    <w:basedOn w:val="Normal"/>
    <w:link w:val="SubtitleChar"/>
    <w:qFormat/>
    <w:rsid w:val="00490C45"/>
    <w:pPr>
      <w:suppressAutoHyphens/>
      <w:spacing w:after="60" w:line="240" w:lineRule="auto"/>
      <w:jc w:val="center"/>
      <w:outlineLvl w:val="1"/>
    </w:pPr>
    <w:rPr>
      <w:rFonts w:ascii="Arial" w:eastAsia="MS Mincho" w:hAnsi="Arial"/>
      <w:sz w:val="24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490C45"/>
    <w:rPr>
      <w:rFonts w:ascii="Arial" w:eastAsia="MS Mincho" w:hAnsi="Arial" w:cs="Times New Roman"/>
      <w:sz w:val="24"/>
      <w:szCs w:val="24"/>
      <w:lang w:eastAsia="ar-SA"/>
    </w:rPr>
  </w:style>
  <w:style w:type="paragraph" w:customStyle="1" w:styleId="Title-article">
    <w:name w:val="Title-article"/>
    <w:basedOn w:val="Normal"/>
    <w:next w:val="Normal"/>
    <w:rsid w:val="00490C45"/>
    <w:pPr>
      <w:suppressAutoHyphens/>
      <w:spacing w:after="480" w:line="240" w:lineRule="auto"/>
      <w:jc w:val="center"/>
    </w:pPr>
    <w:rPr>
      <w:rFonts w:ascii="Times New Roman" w:eastAsia="MS Mincho" w:hAnsi="Times New Roman"/>
      <w:b/>
      <w:bCs/>
      <w:sz w:val="28"/>
      <w:szCs w:val="28"/>
      <w:lang w:eastAsia="ar-SA"/>
    </w:rPr>
  </w:style>
  <w:style w:type="paragraph" w:customStyle="1" w:styleId="author">
    <w:name w:val="author"/>
    <w:basedOn w:val="Normal"/>
    <w:rsid w:val="00490C45"/>
    <w:pPr>
      <w:suppressAutoHyphens/>
      <w:spacing w:after="0" w:line="240" w:lineRule="auto"/>
      <w:jc w:val="center"/>
    </w:pPr>
    <w:rPr>
      <w:rFonts w:ascii="Times New Roman" w:eastAsia="MS Mincho" w:hAnsi="Times New Roman"/>
      <w:b/>
      <w:bCs/>
      <w:i/>
      <w:iCs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90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90C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unicef.go.i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2020-05-09T03:29:00Z</dcterms:created>
  <dcterms:modified xsi:type="dcterms:W3CDTF">2020-05-26T15:14:00Z</dcterms:modified>
</cp:coreProperties>
</file>